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3C08E">
      <w:pPr>
        <w:spacing w:line="460" w:lineRule="exact"/>
        <w:rPr>
          <w:rFonts w:hint="eastAsia" w:eastAsia="黑体"/>
          <w:color w:val="000000"/>
          <w:sz w:val="32"/>
          <w:szCs w:val="32"/>
          <w:lang w:eastAsia="zh-CN"/>
        </w:rPr>
      </w:pPr>
      <w:r>
        <w:rPr>
          <w:rFonts w:hAnsi="黑体" w:eastAsia="黑体"/>
          <w:color w:val="000000"/>
          <w:sz w:val="32"/>
          <w:szCs w:val="32"/>
        </w:rPr>
        <w:t>附件</w:t>
      </w:r>
      <w:r>
        <w:rPr>
          <w:rFonts w:hint="eastAsia" w:eastAsia="黑体"/>
          <w:color w:val="000000"/>
          <w:sz w:val="32"/>
          <w:szCs w:val="32"/>
          <w:lang w:val="en-US" w:eastAsia="zh-CN"/>
        </w:rPr>
        <w:t>4</w:t>
      </w:r>
    </w:p>
    <w:p w14:paraId="63BB5E38">
      <w:pPr>
        <w:spacing w:before="240" w:after="240" w:line="570"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rPr>
        <w:t>常州市“科普讲座进学校”</w:t>
      </w:r>
      <w:r>
        <w:rPr>
          <w:rFonts w:hint="eastAsia" w:ascii="方正小标宋简体" w:eastAsia="方正小标宋简体"/>
          <w:sz w:val="44"/>
          <w:szCs w:val="44"/>
          <w:lang w:eastAsia="zh-CN"/>
        </w:rPr>
        <w:t>名单</w:t>
      </w:r>
    </w:p>
    <w:tbl>
      <w:tblPr>
        <w:tblStyle w:val="4"/>
        <w:tblW w:w="144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2"/>
        <w:gridCol w:w="847"/>
        <w:gridCol w:w="1484"/>
        <w:gridCol w:w="2198"/>
        <w:gridCol w:w="1581"/>
        <w:gridCol w:w="2240"/>
        <w:gridCol w:w="5543"/>
      </w:tblGrid>
      <w:tr w14:paraId="71F9C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592" w:type="dxa"/>
            <w:noWrap/>
            <w:vAlign w:val="center"/>
          </w:tcPr>
          <w:p w14:paraId="20084D5C">
            <w:pPr>
              <w:adjustRightInd w:val="0"/>
              <w:snapToGrid w:val="0"/>
              <w:spacing w:line="320" w:lineRule="exact"/>
              <w:ind w:left="-57" w:right="-57"/>
              <w:jc w:val="center"/>
              <w:rPr>
                <w:rFonts w:eastAsia="黑体"/>
                <w:bCs/>
                <w:szCs w:val="21"/>
              </w:rPr>
            </w:pPr>
            <w:r>
              <w:rPr>
                <w:rFonts w:hAnsi="黑体" w:eastAsia="黑体"/>
                <w:bCs/>
                <w:szCs w:val="21"/>
              </w:rPr>
              <w:t>序号</w:t>
            </w:r>
          </w:p>
        </w:tc>
        <w:tc>
          <w:tcPr>
            <w:tcW w:w="847" w:type="dxa"/>
            <w:noWrap/>
            <w:vAlign w:val="center"/>
          </w:tcPr>
          <w:p w14:paraId="25C4B1E3">
            <w:pPr>
              <w:adjustRightInd w:val="0"/>
              <w:snapToGrid w:val="0"/>
              <w:spacing w:line="320" w:lineRule="exact"/>
              <w:jc w:val="center"/>
              <w:rPr>
                <w:rFonts w:eastAsia="黑体"/>
                <w:bCs/>
                <w:szCs w:val="21"/>
              </w:rPr>
            </w:pPr>
            <w:r>
              <w:rPr>
                <w:rFonts w:hAnsi="黑体" w:eastAsia="黑体"/>
                <w:bCs/>
                <w:szCs w:val="21"/>
              </w:rPr>
              <w:t>姓名</w:t>
            </w:r>
          </w:p>
        </w:tc>
        <w:tc>
          <w:tcPr>
            <w:tcW w:w="1484" w:type="dxa"/>
            <w:noWrap/>
            <w:vAlign w:val="center"/>
          </w:tcPr>
          <w:p w14:paraId="00D7C159">
            <w:pPr>
              <w:adjustRightInd w:val="0"/>
              <w:snapToGrid w:val="0"/>
              <w:spacing w:line="320" w:lineRule="exact"/>
              <w:jc w:val="center"/>
              <w:rPr>
                <w:rFonts w:eastAsia="黑体"/>
                <w:bCs/>
                <w:szCs w:val="21"/>
              </w:rPr>
            </w:pPr>
            <w:r>
              <w:rPr>
                <w:rFonts w:hAnsi="黑体" w:eastAsia="黑体"/>
                <w:bCs/>
                <w:szCs w:val="21"/>
              </w:rPr>
              <w:t>单位</w:t>
            </w:r>
          </w:p>
        </w:tc>
        <w:tc>
          <w:tcPr>
            <w:tcW w:w="2198" w:type="dxa"/>
            <w:noWrap/>
            <w:vAlign w:val="center"/>
          </w:tcPr>
          <w:p w14:paraId="4AF31B47">
            <w:pPr>
              <w:adjustRightInd w:val="0"/>
              <w:snapToGrid w:val="0"/>
              <w:spacing w:line="320" w:lineRule="exact"/>
              <w:jc w:val="center"/>
              <w:rPr>
                <w:rFonts w:eastAsia="黑体"/>
                <w:bCs/>
                <w:szCs w:val="21"/>
              </w:rPr>
            </w:pPr>
            <w:r>
              <w:rPr>
                <w:rFonts w:hAnsi="黑体" w:eastAsia="黑体"/>
                <w:bCs/>
                <w:szCs w:val="21"/>
              </w:rPr>
              <w:t>职务／职称</w:t>
            </w:r>
            <w:r>
              <w:rPr>
                <w:rFonts w:eastAsia="黑体"/>
                <w:bCs/>
                <w:szCs w:val="21"/>
              </w:rPr>
              <w:t>/</w:t>
            </w:r>
            <w:r>
              <w:rPr>
                <w:rFonts w:hAnsi="黑体" w:eastAsia="黑体"/>
                <w:bCs/>
                <w:szCs w:val="21"/>
              </w:rPr>
              <w:t>学历</w:t>
            </w:r>
          </w:p>
        </w:tc>
        <w:tc>
          <w:tcPr>
            <w:tcW w:w="1581" w:type="dxa"/>
            <w:noWrap/>
            <w:vAlign w:val="center"/>
          </w:tcPr>
          <w:p w14:paraId="6ECBA8BF">
            <w:pPr>
              <w:adjustRightInd w:val="0"/>
              <w:snapToGrid w:val="0"/>
              <w:spacing w:line="320" w:lineRule="exact"/>
              <w:jc w:val="center"/>
              <w:rPr>
                <w:rFonts w:eastAsia="黑体"/>
                <w:bCs/>
                <w:szCs w:val="21"/>
              </w:rPr>
            </w:pPr>
            <w:r>
              <w:rPr>
                <w:rFonts w:hAnsi="黑体" w:eastAsia="黑体"/>
                <w:bCs/>
                <w:szCs w:val="21"/>
              </w:rPr>
              <w:t>联系方式</w:t>
            </w:r>
          </w:p>
        </w:tc>
        <w:tc>
          <w:tcPr>
            <w:tcW w:w="2240" w:type="dxa"/>
            <w:noWrap/>
            <w:vAlign w:val="center"/>
          </w:tcPr>
          <w:p w14:paraId="2DE97C54">
            <w:pPr>
              <w:adjustRightInd w:val="0"/>
              <w:snapToGrid w:val="0"/>
              <w:spacing w:line="320" w:lineRule="exact"/>
              <w:jc w:val="center"/>
              <w:rPr>
                <w:rFonts w:eastAsia="黑体"/>
                <w:bCs/>
                <w:szCs w:val="21"/>
              </w:rPr>
            </w:pPr>
            <w:r>
              <w:rPr>
                <w:rFonts w:hAnsi="黑体" w:eastAsia="黑体"/>
                <w:bCs/>
                <w:szCs w:val="21"/>
              </w:rPr>
              <w:t>科普讲座主题</w:t>
            </w:r>
          </w:p>
        </w:tc>
        <w:tc>
          <w:tcPr>
            <w:tcW w:w="5543" w:type="dxa"/>
            <w:noWrap/>
            <w:vAlign w:val="center"/>
          </w:tcPr>
          <w:p w14:paraId="3BA22162">
            <w:pPr>
              <w:adjustRightInd w:val="0"/>
              <w:snapToGrid w:val="0"/>
              <w:spacing w:line="320" w:lineRule="exact"/>
              <w:jc w:val="center"/>
              <w:rPr>
                <w:rFonts w:eastAsia="黑体"/>
                <w:bCs/>
                <w:szCs w:val="21"/>
              </w:rPr>
            </w:pPr>
            <w:r>
              <w:rPr>
                <w:rFonts w:hAnsi="黑体" w:eastAsia="黑体"/>
                <w:bCs/>
                <w:szCs w:val="21"/>
              </w:rPr>
              <w:t>内容梗概</w:t>
            </w:r>
          </w:p>
        </w:tc>
      </w:tr>
      <w:tr w14:paraId="12F81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noWrap/>
            <w:vAlign w:val="center"/>
          </w:tcPr>
          <w:p w14:paraId="37197928">
            <w:pPr>
              <w:adjustRightInd w:val="0"/>
              <w:snapToGrid w:val="0"/>
              <w:spacing w:line="320" w:lineRule="exact"/>
              <w:jc w:val="center"/>
              <w:rPr>
                <w:szCs w:val="21"/>
              </w:rPr>
            </w:pPr>
            <w:r>
              <w:rPr>
                <w:rFonts w:hint="eastAsia"/>
                <w:szCs w:val="21"/>
              </w:rPr>
              <w:t>1</w:t>
            </w:r>
          </w:p>
        </w:tc>
        <w:tc>
          <w:tcPr>
            <w:tcW w:w="847" w:type="dxa"/>
            <w:noWrap/>
            <w:vAlign w:val="center"/>
          </w:tcPr>
          <w:p w14:paraId="659C8DD1">
            <w:pPr>
              <w:adjustRightInd w:val="0"/>
              <w:snapToGrid w:val="0"/>
              <w:spacing w:line="320" w:lineRule="exact"/>
              <w:jc w:val="center"/>
              <w:rPr>
                <w:szCs w:val="21"/>
              </w:rPr>
            </w:pPr>
            <w:r>
              <w:rPr>
                <w:rFonts w:hint="eastAsia"/>
                <w:szCs w:val="21"/>
              </w:rPr>
              <w:t>徐兴芳</w:t>
            </w:r>
          </w:p>
        </w:tc>
        <w:tc>
          <w:tcPr>
            <w:tcW w:w="1484" w:type="dxa"/>
            <w:noWrap/>
            <w:vAlign w:val="center"/>
          </w:tcPr>
          <w:p w14:paraId="61C7424C">
            <w:pPr>
              <w:adjustRightInd w:val="0"/>
              <w:snapToGrid w:val="0"/>
              <w:spacing w:line="320" w:lineRule="exact"/>
              <w:jc w:val="center"/>
              <w:rPr>
                <w:szCs w:val="21"/>
              </w:rPr>
            </w:pPr>
            <w:r>
              <w:rPr>
                <w:szCs w:val="21"/>
              </w:rPr>
              <w:t>常州谱瑞眼科医院</w:t>
            </w:r>
          </w:p>
        </w:tc>
        <w:tc>
          <w:tcPr>
            <w:tcW w:w="2198" w:type="dxa"/>
            <w:noWrap/>
            <w:vAlign w:val="center"/>
          </w:tcPr>
          <w:p w14:paraId="6B2998D5">
            <w:pPr>
              <w:adjustRightInd w:val="0"/>
              <w:snapToGrid w:val="0"/>
              <w:spacing w:line="320" w:lineRule="exact"/>
              <w:jc w:val="center"/>
              <w:rPr>
                <w:szCs w:val="21"/>
              </w:rPr>
            </w:pPr>
            <w:r>
              <w:rPr>
                <w:szCs w:val="21"/>
              </w:rPr>
              <w:t>医学验光中心小儿医师</w:t>
            </w:r>
            <w:r>
              <w:rPr>
                <w:rFonts w:hint="eastAsia"/>
                <w:szCs w:val="21"/>
              </w:rPr>
              <w:t>/医师/大专</w:t>
            </w:r>
          </w:p>
        </w:tc>
        <w:tc>
          <w:tcPr>
            <w:tcW w:w="1581" w:type="dxa"/>
            <w:noWrap/>
            <w:vAlign w:val="center"/>
          </w:tcPr>
          <w:p w14:paraId="7F2063E0">
            <w:pPr>
              <w:adjustRightInd w:val="0"/>
              <w:snapToGrid w:val="0"/>
              <w:spacing w:line="320" w:lineRule="exact"/>
              <w:jc w:val="center"/>
              <w:rPr>
                <w:szCs w:val="21"/>
              </w:rPr>
            </w:pPr>
            <w:r>
              <w:rPr>
                <w:rFonts w:hint="eastAsia"/>
                <w:szCs w:val="21"/>
              </w:rPr>
              <w:t>1</w:t>
            </w:r>
            <w:r>
              <w:rPr>
                <w:szCs w:val="21"/>
              </w:rPr>
              <w:t>5961114025</w:t>
            </w:r>
          </w:p>
        </w:tc>
        <w:tc>
          <w:tcPr>
            <w:tcW w:w="2240" w:type="dxa"/>
            <w:noWrap/>
            <w:vAlign w:val="center"/>
          </w:tcPr>
          <w:p w14:paraId="02B99092">
            <w:pPr>
              <w:adjustRightInd w:val="0"/>
              <w:snapToGrid w:val="0"/>
              <w:spacing w:line="320" w:lineRule="exact"/>
              <w:rPr>
                <w:szCs w:val="21"/>
              </w:rPr>
            </w:pPr>
            <w:r>
              <w:rPr>
                <w:szCs w:val="21"/>
              </w:rPr>
              <w:t>青少年近视防控</w:t>
            </w:r>
          </w:p>
        </w:tc>
        <w:tc>
          <w:tcPr>
            <w:tcW w:w="5543" w:type="dxa"/>
            <w:noWrap/>
            <w:vAlign w:val="center"/>
          </w:tcPr>
          <w:p w14:paraId="4893C5BC">
            <w:pPr>
              <w:adjustRightInd w:val="0"/>
              <w:snapToGrid w:val="0"/>
              <w:spacing w:line="320" w:lineRule="exact"/>
              <w:rPr>
                <w:szCs w:val="21"/>
              </w:rPr>
            </w:pPr>
            <w:r>
              <w:rPr>
                <w:szCs w:val="21"/>
              </w:rPr>
              <w:t>近视防控涉及学校</w:t>
            </w:r>
            <w:r>
              <w:rPr>
                <w:rFonts w:hint="eastAsia"/>
                <w:szCs w:val="21"/>
              </w:rPr>
              <w:t>、家庭和社会的写作，近视问题已经成为严重影响青少年的素质和健康，减少近视，减低近视，刻不容缓。</w:t>
            </w:r>
          </w:p>
        </w:tc>
      </w:tr>
      <w:tr w14:paraId="1109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noWrap/>
            <w:vAlign w:val="center"/>
          </w:tcPr>
          <w:p w14:paraId="7341CA7F">
            <w:pPr>
              <w:adjustRightInd w:val="0"/>
              <w:snapToGrid w:val="0"/>
              <w:spacing w:line="320" w:lineRule="exact"/>
              <w:jc w:val="center"/>
              <w:rPr>
                <w:szCs w:val="21"/>
              </w:rPr>
            </w:pPr>
            <w:r>
              <w:rPr>
                <w:rFonts w:hint="eastAsia"/>
                <w:szCs w:val="21"/>
              </w:rPr>
              <w:t>2</w:t>
            </w:r>
          </w:p>
        </w:tc>
        <w:tc>
          <w:tcPr>
            <w:tcW w:w="847" w:type="dxa"/>
            <w:noWrap/>
            <w:vAlign w:val="center"/>
          </w:tcPr>
          <w:p w14:paraId="10919C2C">
            <w:pPr>
              <w:adjustRightInd w:val="0"/>
              <w:snapToGrid w:val="0"/>
              <w:spacing w:line="320" w:lineRule="exact"/>
              <w:jc w:val="center"/>
              <w:rPr>
                <w:szCs w:val="21"/>
              </w:rPr>
            </w:pPr>
            <w:r>
              <w:rPr>
                <w:szCs w:val="21"/>
              </w:rPr>
              <w:t>徐涛</w:t>
            </w:r>
          </w:p>
        </w:tc>
        <w:tc>
          <w:tcPr>
            <w:tcW w:w="1484" w:type="dxa"/>
            <w:noWrap/>
            <w:vAlign w:val="center"/>
          </w:tcPr>
          <w:p w14:paraId="3C5FFB39">
            <w:pPr>
              <w:adjustRightInd w:val="0"/>
              <w:snapToGrid w:val="0"/>
              <w:spacing w:line="320" w:lineRule="exact"/>
              <w:jc w:val="center"/>
              <w:rPr>
                <w:szCs w:val="21"/>
              </w:rPr>
            </w:pPr>
            <w:r>
              <w:rPr>
                <w:szCs w:val="21"/>
              </w:rPr>
              <w:t>常州谱瑞眼科医院</w:t>
            </w:r>
          </w:p>
        </w:tc>
        <w:tc>
          <w:tcPr>
            <w:tcW w:w="2198" w:type="dxa"/>
            <w:noWrap/>
            <w:vAlign w:val="center"/>
          </w:tcPr>
          <w:p w14:paraId="1580681A">
            <w:pPr>
              <w:adjustRightInd w:val="0"/>
              <w:snapToGrid w:val="0"/>
              <w:spacing w:line="320" w:lineRule="exact"/>
              <w:jc w:val="center"/>
              <w:rPr>
                <w:szCs w:val="21"/>
              </w:rPr>
            </w:pPr>
            <w:r>
              <w:rPr>
                <w:szCs w:val="21"/>
              </w:rPr>
              <w:t>医务科长</w:t>
            </w:r>
            <w:r>
              <w:rPr>
                <w:rFonts w:hint="eastAsia"/>
                <w:szCs w:val="21"/>
              </w:rPr>
              <w:t>/</w:t>
            </w:r>
            <w:r>
              <w:rPr>
                <w:szCs w:val="21"/>
              </w:rPr>
              <w:t>主治医师</w:t>
            </w:r>
            <w:r>
              <w:rPr>
                <w:rFonts w:hint="eastAsia"/>
                <w:szCs w:val="21"/>
              </w:rPr>
              <w:t>/本科</w:t>
            </w:r>
          </w:p>
        </w:tc>
        <w:tc>
          <w:tcPr>
            <w:tcW w:w="1581" w:type="dxa"/>
            <w:noWrap/>
            <w:vAlign w:val="center"/>
          </w:tcPr>
          <w:p w14:paraId="68FD96B1">
            <w:pPr>
              <w:adjustRightInd w:val="0"/>
              <w:snapToGrid w:val="0"/>
              <w:spacing w:line="320" w:lineRule="exact"/>
              <w:jc w:val="center"/>
              <w:rPr>
                <w:szCs w:val="21"/>
              </w:rPr>
            </w:pPr>
            <w:r>
              <w:rPr>
                <w:rFonts w:hint="eastAsia"/>
                <w:szCs w:val="21"/>
              </w:rPr>
              <w:t>1</w:t>
            </w:r>
            <w:r>
              <w:rPr>
                <w:szCs w:val="21"/>
              </w:rPr>
              <w:t>3805265236</w:t>
            </w:r>
          </w:p>
        </w:tc>
        <w:tc>
          <w:tcPr>
            <w:tcW w:w="2240" w:type="dxa"/>
            <w:noWrap/>
            <w:vAlign w:val="center"/>
          </w:tcPr>
          <w:p w14:paraId="79B47F78">
            <w:pPr>
              <w:adjustRightInd w:val="0"/>
              <w:snapToGrid w:val="0"/>
              <w:spacing w:line="320" w:lineRule="exact"/>
              <w:rPr>
                <w:szCs w:val="21"/>
              </w:rPr>
            </w:pPr>
            <w:r>
              <w:rPr>
                <w:szCs w:val="21"/>
              </w:rPr>
              <w:t>少儿弱视的早发现早治疗</w:t>
            </w:r>
          </w:p>
        </w:tc>
        <w:tc>
          <w:tcPr>
            <w:tcW w:w="5543" w:type="dxa"/>
            <w:noWrap/>
            <w:vAlign w:val="center"/>
          </w:tcPr>
          <w:p w14:paraId="7E36455A">
            <w:pPr>
              <w:adjustRightInd w:val="0"/>
              <w:snapToGrid w:val="0"/>
              <w:spacing w:line="320" w:lineRule="exact"/>
              <w:rPr>
                <w:szCs w:val="21"/>
              </w:rPr>
            </w:pPr>
            <w:r>
              <w:rPr>
                <w:szCs w:val="21"/>
              </w:rPr>
              <w:t>少儿弱视与斜视、远视、散光有关，早发现早治疗可以有效恢复，弱视康复涉及一生的职业，提高人口素质。</w:t>
            </w:r>
          </w:p>
        </w:tc>
      </w:tr>
      <w:tr w14:paraId="47F64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noWrap/>
            <w:vAlign w:val="center"/>
          </w:tcPr>
          <w:p w14:paraId="1340982F">
            <w:pPr>
              <w:adjustRightInd w:val="0"/>
              <w:snapToGrid w:val="0"/>
              <w:spacing w:line="320" w:lineRule="exact"/>
              <w:jc w:val="center"/>
              <w:rPr>
                <w:rFonts w:hint="eastAsia" w:eastAsia="宋体"/>
                <w:szCs w:val="21"/>
                <w:lang w:val="en-US" w:eastAsia="zh-CN"/>
              </w:rPr>
            </w:pPr>
            <w:r>
              <w:rPr>
                <w:rFonts w:hint="eastAsia"/>
                <w:szCs w:val="21"/>
                <w:lang w:val="en-US" w:eastAsia="zh-CN"/>
              </w:rPr>
              <w:t>3</w:t>
            </w:r>
          </w:p>
        </w:tc>
        <w:tc>
          <w:tcPr>
            <w:tcW w:w="847" w:type="dxa"/>
            <w:noWrap/>
            <w:vAlign w:val="center"/>
          </w:tcPr>
          <w:p w14:paraId="59E26843">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汤美</w:t>
            </w:r>
          </w:p>
        </w:tc>
        <w:tc>
          <w:tcPr>
            <w:tcW w:w="1484" w:type="dxa"/>
            <w:noWrap/>
            <w:vAlign w:val="center"/>
          </w:tcPr>
          <w:p w14:paraId="08D56CE8">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14:paraId="524DC3DB">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副主任医师</w:t>
            </w:r>
          </w:p>
        </w:tc>
        <w:tc>
          <w:tcPr>
            <w:tcW w:w="1581" w:type="dxa"/>
            <w:noWrap/>
            <w:vAlign w:val="center"/>
          </w:tcPr>
          <w:p w14:paraId="52AA2D28">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15895020876</w:t>
            </w:r>
          </w:p>
        </w:tc>
        <w:tc>
          <w:tcPr>
            <w:tcW w:w="2240" w:type="dxa"/>
            <w:noWrap/>
            <w:vAlign w:val="center"/>
          </w:tcPr>
          <w:p w14:paraId="4AA9F25C">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肠胃奇妙屋：食物变形记</w:t>
            </w:r>
          </w:p>
        </w:tc>
        <w:tc>
          <w:tcPr>
            <w:tcW w:w="5543" w:type="dxa"/>
            <w:noWrap/>
            <w:vAlign w:val="center"/>
          </w:tcPr>
          <w:p w14:paraId="47E5CB97">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介绍食物在人体消化道被消化吸收以及利用的全过程，以此促进孩子健康科学饮食</w:t>
            </w:r>
          </w:p>
        </w:tc>
      </w:tr>
      <w:tr w14:paraId="2A77F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noWrap/>
            <w:vAlign w:val="center"/>
          </w:tcPr>
          <w:p w14:paraId="4A9C10B8">
            <w:pPr>
              <w:adjustRightInd w:val="0"/>
              <w:snapToGrid w:val="0"/>
              <w:spacing w:line="320" w:lineRule="exact"/>
              <w:jc w:val="center"/>
              <w:rPr>
                <w:rFonts w:hint="default" w:eastAsia="宋体"/>
                <w:szCs w:val="21"/>
                <w:lang w:val="en-US" w:eastAsia="zh-CN"/>
              </w:rPr>
            </w:pPr>
            <w:r>
              <w:rPr>
                <w:rFonts w:hint="eastAsia"/>
                <w:szCs w:val="21"/>
                <w:lang w:val="en-US" w:eastAsia="zh-CN"/>
              </w:rPr>
              <w:t>4</w:t>
            </w:r>
          </w:p>
        </w:tc>
        <w:tc>
          <w:tcPr>
            <w:tcW w:w="847" w:type="dxa"/>
            <w:noWrap/>
            <w:vAlign w:val="center"/>
          </w:tcPr>
          <w:p w14:paraId="13FB0521">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顾敏</w:t>
            </w:r>
          </w:p>
        </w:tc>
        <w:tc>
          <w:tcPr>
            <w:tcW w:w="1484" w:type="dxa"/>
            <w:noWrap/>
            <w:vAlign w:val="center"/>
          </w:tcPr>
          <w:p w14:paraId="4123E8F3">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14:paraId="05DCAA67">
            <w:pPr>
              <w:adjustRightInd w:val="0"/>
              <w:snapToGrid w:val="0"/>
              <w:spacing w:line="320" w:lineRule="exact"/>
              <w:jc w:val="center"/>
              <w:rPr>
                <w:rFonts w:hint="eastAsia"/>
                <w:szCs w:val="21"/>
              </w:rPr>
            </w:pPr>
            <w:r>
              <w:rPr>
                <w:rFonts w:hint="eastAsia"/>
                <w:szCs w:val="21"/>
              </w:rPr>
              <w:t>常州市青年科技人才协会秘书长</w:t>
            </w:r>
          </w:p>
          <w:p w14:paraId="15509C47">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/副主任医师/博士</w:t>
            </w:r>
          </w:p>
        </w:tc>
        <w:tc>
          <w:tcPr>
            <w:tcW w:w="1581" w:type="dxa"/>
            <w:noWrap/>
            <w:vAlign w:val="center"/>
          </w:tcPr>
          <w:p w14:paraId="256CA8B0">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13601509162</w:t>
            </w:r>
          </w:p>
        </w:tc>
        <w:tc>
          <w:tcPr>
            <w:tcW w:w="2240" w:type="dxa"/>
            <w:noWrap/>
            <w:vAlign w:val="center"/>
          </w:tcPr>
          <w:p w14:paraId="1C78FC07">
            <w:pPr>
              <w:adjustRightInd w:val="0"/>
              <w:snapToGrid w:val="0"/>
              <w:spacing w:line="320" w:lineRule="exact"/>
              <w:rPr>
                <w:rFonts w:ascii="Times New Roman" w:hAnsi="Times New Roman" w:eastAsia="宋体" w:cs="Times New Roman"/>
                <w:kern w:val="0"/>
                <w:sz w:val="21"/>
                <w:szCs w:val="21"/>
                <w:lang w:val="en-US" w:eastAsia="zh-CN" w:bidi="ar-SA"/>
              </w:rPr>
            </w:pPr>
            <w:r>
              <w:rPr>
                <w:rFonts w:hint="eastAsia"/>
                <w:kern w:val="0"/>
                <w:szCs w:val="21"/>
              </w:rPr>
              <w:t>儿童及青春全周期的口腔健康管理与维护</w:t>
            </w:r>
          </w:p>
        </w:tc>
        <w:tc>
          <w:tcPr>
            <w:tcW w:w="5543" w:type="dxa"/>
            <w:noWrap/>
            <w:vAlign w:val="center"/>
          </w:tcPr>
          <w:p w14:paraId="2E5F1504">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科普在校学生中常见的蛀牙预防及补救措施；牙齿发育畸形、牙齿外伤、牙齿的错颌畸形及颜面美学塑造、口腔卫生维护</w:t>
            </w:r>
          </w:p>
        </w:tc>
      </w:tr>
      <w:tr w14:paraId="4B5E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noWrap/>
            <w:vAlign w:val="center"/>
          </w:tcPr>
          <w:p w14:paraId="255E1C9F">
            <w:pPr>
              <w:adjustRightInd w:val="0"/>
              <w:snapToGrid w:val="0"/>
              <w:spacing w:line="320" w:lineRule="exact"/>
              <w:jc w:val="center"/>
              <w:rPr>
                <w:rFonts w:hint="eastAsia" w:eastAsia="宋体"/>
                <w:szCs w:val="21"/>
                <w:lang w:val="en-US" w:eastAsia="zh-CN"/>
              </w:rPr>
            </w:pPr>
            <w:r>
              <w:rPr>
                <w:rFonts w:hint="eastAsia"/>
                <w:szCs w:val="21"/>
                <w:lang w:val="en-US" w:eastAsia="zh-CN"/>
              </w:rPr>
              <w:t>5</w:t>
            </w:r>
          </w:p>
        </w:tc>
        <w:tc>
          <w:tcPr>
            <w:tcW w:w="847" w:type="dxa"/>
            <w:noWrap/>
            <w:vAlign w:val="center"/>
          </w:tcPr>
          <w:p w14:paraId="1429777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李旻</w:t>
            </w:r>
          </w:p>
        </w:tc>
        <w:tc>
          <w:tcPr>
            <w:tcW w:w="1484" w:type="dxa"/>
            <w:noWrap/>
            <w:vAlign w:val="center"/>
          </w:tcPr>
          <w:p w14:paraId="4E53F43A">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noWrap/>
            <w:vAlign w:val="center"/>
          </w:tcPr>
          <w:p w14:paraId="466752B5">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科副主任/副主任医师/硕士研究生</w:t>
            </w:r>
          </w:p>
        </w:tc>
        <w:tc>
          <w:tcPr>
            <w:tcW w:w="1581" w:type="dxa"/>
            <w:noWrap/>
            <w:vAlign w:val="center"/>
          </w:tcPr>
          <w:p w14:paraId="49AAD537">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13961434030</w:t>
            </w:r>
          </w:p>
        </w:tc>
        <w:tc>
          <w:tcPr>
            <w:tcW w:w="2240" w:type="dxa"/>
            <w:noWrap/>
            <w:vAlign w:val="center"/>
          </w:tcPr>
          <w:p w14:paraId="45D95EEE">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带你走进人体“下水道”</w:t>
            </w:r>
          </w:p>
        </w:tc>
        <w:tc>
          <w:tcPr>
            <w:tcW w:w="5543" w:type="dxa"/>
            <w:noWrap/>
            <w:vAlign w:val="center"/>
          </w:tcPr>
          <w:p w14:paraId="3078AA4E">
            <w:pPr>
              <w:adjustRightInd w:val="0"/>
              <w:snapToGrid w:val="0"/>
              <w:spacing w:line="320" w:lineRule="exact"/>
              <w:rPr>
                <w:rFonts w:ascii="Times New Roman" w:hAnsi="Times New Roman" w:eastAsia="宋体" w:cs="Times New Roman"/>
                <w:kern w:val="2"/>
                <w:sz w:val="21"/>
                <w:szCs w:val="21"/>
                <w:lang w:val="en-US" w:eastAsia="zh-CN" w:bidi="ar-SA"/>
              </w:rPr>
            </w:pPr>
            <w:r>
              <w:rPr>
                <w:szCs w:val="21"/>
              </w:rPr>
              <w:t>介绍肾脏的结构、大小</w:t>
            </w:r>
            <w:r>
              <w:rPr>
                <w:rFonts w:hint="eastAsia"/>
                <w:szCs w:val="21"/>
              </w:rPr>
              <w:t>、尿液产生的原理及过程、肾脏的功能、尿色、尿量改变的意义、泡沫尿的形成、正确的留取尿液</w:t>
            </w:r>
            <w:r>
              <w:rPr>
                <w:szCs w:val="21"/>
              </w:rPr>
              <w:t>以及慢性肾脏病的常见表现</w:t>
            </w:r>
            <w:r>
              <w:rPr>
                <w:rFonts w:hint="eastAsia"/>
                <w:szCs w:val="21"/>
              </w:rPr>
              <w:t>、病因</w:t>
            </w:r>
            <w:r>
              <w:rPr>
                <w:szCs w:val="21"/>
              </w:rPr>
              <w:t>等</w:t>
            </w:r>
            <w:r>
              <w:rPr>
                <w:rFonts w:hint="eastAsia"/>
                <w:szCs w:val="21"/>
              </w:rPr>
              <w:t>，让同学们认识人体的“下水道”——泌尿系统</w:t>
            </w:r>
          </w:p>
        </w:tc>
      </w:tr>
      <w:tr w14:paraId="1D23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846F2F0">
            <w:pPr>
              <w:adjustRightInd w:val="0"/>
              <w:snapToGrid w:val="0"/>
              <w:spacing w:line="320" w:lineRule="exact"/>
              <w:jc w:val="center"/>
              <w:rPr>
                <w:rFonts w:hint="eastAsia" w:eastAsia="宋体"/>
                <w:szCs w:val="21"/>
                <w:lang w:val="en-US" w:eastAsia="zh-CN"/>
              </w:rPr>
            </w:pPr>
            <w:r>
              <w:rPr>
                <w:rFonts w:hint="eastAsia"/>
                <w:szCs w:val="21"/>
                <w:lang w:val="en-US" w:eastAsia="zh-CN"/>
              </w:rPr>
              <w:t>6</w:t>
            </w:r>
          </w:p>
        </w:tc>
        <w:tc>
          <w:tcPr>
            <w:tcW w:w="847" w:type="dxa"/>
            <w:vAlign w:val="center"/>
          </w:tcPr>
          <w:p w14:paraId="01CF3F80">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姚长芳</w:t>
            </w:r>
          </w:p>
        </w:tc>
        <w:tc>
          <w:tcPr>
            <w:tcW w:w="1484" w:type="dxa"/>
            <w:vAlign w:val="center"/>
          </w:tcPr>
          <w:p w14:paraId="42C54CF6">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常州市第一人民医院妇产科</w:t>
            </w:r>
          </w:p>
        </w:tc>
        <w:tc>
          <w:tcPr>
            <w:tcW w:w="2198" w:type="dxa"/>
            <w:vAlign w:val="center"/>
          </w:tcPr>
          <w:p w14:paraId="7C7CBFEB">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讲师、副主任医师/博士</w:t>
            </w:r>
          </w:p>
        </w:tc>
        <w:tc>
          <w:tcPr>
            <w:tcW w:w="1581" w:type="dxa"/>
            <w:vAlign w:val="center"/>
          </w:tcPr>
          <w:p w14:paraId="65991821">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15151965920</w:t>
            </w:r>
          </w:p>
        </w:tc>
        <w:tc>
          <w:tcPr>
            <w:tcW w:w="2240" w:type="dxa"/>
            <w:vAlign w:val="center"/>
          </w:tcPr>
          <w:p w14:paraId="5444987E">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青春期生理卫生知识讲座</w:t>
            </w:r>
          </w:p>
        </w:tc>
        <w:tc>
          <w:tcPr>
            <w:tcW w:w="5543" w:type="dxa"/>
            <w:vAlign w:val="center"/>
          </w:tcPr>
          <w:p w14:paraId="1B221074">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女生青春期的身体变化，乳房保健，月经期保健，如何与异性相处，女生如何自我保护</w:t>
            </w:r>
          </w:p>
        </w:tc>
      </w:tr>
      <w:tr w14:paraId="65FD2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1F8B144">
            <w:pPr>
              <w:adjustRightInd w:val="0"/>
              <w:snapToGrid w:val="0"/>
              <w:spacing w:line="320" w:lineRule="exact"/>
              <w:jc w:val="center"/>
              <w:rPr>
                <w:rFonts w:hint="eastAsia" w:eastAsia="宋体"/>
                <w:szCs w:val="21"/>
                <w:lang w:val="en-US" w:eastAsia="zh-CN"/>
              </w:rPr>
            </w:pPr>
            <w:r>
              <w:rPr>
                <w:rFonts w:hint="eastAsia"/>
                <w:szCs w:val="21"/>
                <w:lang w:val="en-US" w:eastAsia="zh-CN"/>
              </w:rPr>
              <w:t>7</w:t>
            </w:r>
          </w:p>
        </w:tc>
        <w:tc>
          <w:tcPr>
            <w:tcW w:w="847" w:type="dxa"/>
            <w:vAlign w:val="center"/>
          </w:tcPr>
          <w:p w14:paraId="6A3F4AF0">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黄钧</w:t>
            </w:r>
          </w:p>
        </w:tc>
        <w:tc>
          <w:tcPr>
            <w:tcW w:w="1484" w:type="dxa"/>
            <w:vAlign w:val="center"/>
          </w:tcPr>
          <w:p w14:paraId="0302A135">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14:paraId="0FF80A5E">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主任医师/硕士</w:t>
            </w:r>
          </w:p>
        </w:tc>
        <w:tc>
          <w:tcPr>
            <w:tcW w:w="1581" w:type="dxa"/>
            <w:vAlign w:val="center"/>
          </w:tcPr>
          <w:p w14:paraId="4B416DD2">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13915023751</w:t>
            </w:r>
          </w:p>
        </w:tc>
        <w:tc>
          <w:tcPr>
            <w:tcW w:w="2240" w:type="dxa"/>
            <w:vAlign w:val="center"/>
          </w:tcPr>
          <w:p w14:paraId="47D799D6">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青春期生理卫生知识讲座</w:t>
            </w:r>
          </w:p>
        </w:tc>
        <w:tc>
          <w:tcPr>
            <w:tcW w:w="5543" w:type="dxa"/>
            <w:vAlign w:val="center"/>
          </w:tcPr>
          <w:p w14:paraId="391E6E52">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青春期生理教育的必要性，女生卫生保健，男生卫生保健，正确处理与异性的关系</w:t>
            </w:r>
          </w:p>
        </w:tc>
      </w:tr>
      <w:tr w14:paraId="4826E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6823CD29">
            <w:pPr>
              <w:adjustRightInd w:val="0"/>
              <w:snapToGrid w:val="0"/>
              <w:spacing w:line="320" w:lineRule="exact"/>
              <w:jc w:val="center"/>
              <w:rPr>
                <w:rFonts w:hint="eastAsia" w:eastAsia="宋体"/>
                <w:szCs w:val="21"/>
                <w:lang w:val="en-US" w:eastAsia="zh-CN"/>
              </w:rPr>
            </w:pPr>
            <w:r>
              <w:rPr>
                <w:rFonts w:hint="eastAsia"/>
                <w:szCs w:val="21"/>
                <w:lang w:val="en-US" w:eastAsia="zh-CN"/>
              </w:rPr>
              <w:t>8</w:t>
            </w:r>
          </w:p>
        </w:tc>
        <w:tc>
          <w:tcPr>
            <w:tcW w:w="847" w:type="dxa"/>
            <w:vAlign w:val="center"/>
          </w:tcPr>
          <w:p w14:paraId="4769ADD4">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付瑜</w:t>
            </w:r>
          </w:p>
        </w:tc>
        <w:tc>
          <w:tcPr>
            <w:tcW w:w="1484" w:type="dxa"/>
            <w:vAlign w:val="center"/>
          </w:tcPr>
          <w:p w14:paraId="2E6BCF3F">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14:paraId="3A187714">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科研秘书/</w:t>
            </w:r>
            <w:r>
              <w:rPr>
                <w:szCs w:val="21"/>
              </w:rPr>
              <w:t>主治医师</w:t>
            </w:r>
            <w:r>
              <w:rPr>
                <w:rFonts w:hint="eastAsia"/>
                <w:szCs w:val="21"/>
              </w:rPr>
              <w:t>/</w:t>
            </w:r>
            <w:r>
              <w:rPr>
                <w:szCs w:val="21"/>
              </w:rPr>
              <w:t>博士</w:t>
            </w:r>
          </w:p>
        </w:tc>
        <w:tc>
          <w:tcPr>
            <w:tcW w:w="1581" w:type="dxa"/>
            <w:vAlign w:val="center"/>
          </w:tcPr>
          <w:p w14:paraId="7D835D04">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szCs w:val="21"/>
              </w:rPr>
              <w:t>18452423549</w:t>
            </w:r>
          </w:p>
        </w:tc>
        <w:tc>
          <w:tcPr>
            <w:tcW w:w="2240" w:type="dxa"/>
            <w:vAlign w:val="center"/>
          </w:tcPr>
          <w:p w14:paraId="11951789">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儿童青少年生长迟缓食养指南 （2023 年版）解读</w:t>
            </w:r>
          </w:p>
        </w:tc>
        <w:tc>
          <w:tcPr>
            <w:tcW w:w="5543" w:type="dxa"/>
            <w:vAlign w:val="center"/>
          </w:tcPr>
          <w:p w14:paraId="0570E9D1">
            <w:pPr>
              <w:widowControl/>
              <w:jc w:val="left"/>
              <w:rPr>
                <w:rFonts w:ascii="Times New Roman" w:hAnsi="Times New Roman" w:eastAsia="宋体" w:cs="Times New Roman"/>
                <w:kern w:val="2"/>
                <w:sz w:val="21"/>
                <w:szCs w:val="21"/>
                <w:lang w:val="en-US" w:eastAsia="zh-CN" w:bidi="ar-SA"/>
              </w:rPr>
            </w:pPr>
            <w:r>
              <w:rPr>
                <w:rFonts w:hint="eastAsia" w:ascii="宋体" w:hAnsi="宋体" w:cs="宋体"/>
                <w:szCs w:val="21"/>
              </w:rPr>
              <w:t>儿童青少年</w:t>
            </w:r>
            <w:r>
              <w:rPr>
                <w:rFonts w:hint="eastAsia" w:ascii="宋体" w:hAnsi="宋体" w:cs="宋体"/>
                <w:color w:val="000000"/>
                <w:kern w:val="0"/>
                <w:szCs w:val="21"/>
                <w:lang w:bidi="ar"/>
              </w:rPr>
              <w:t xml:space="preserve">生长迟缓的定义与判定、中医对生长迟缓的认识及分型；重点解读儿童青少年生长迟缓的食养原则和建议 ；引导生长迟缓儿童青少年正确选择食物；介绍常见食物交换表及其在生活中的应用；不同地区食谱示例 </w:t>
            </w:r>
            <w:r>
              <w:rPr>
                <w:rFonts w:hint="eastAsia" w:ascii="宋体" w:hAnsi="宋体" w:cs="宋体"/>
                <w:szCs w:val="21"/>
              </w:rPr>
              <w:t>；</w:t>
            </w:r>
            <w:r>
              <w:rPr>
                <w:rFonts w:hint="eastAsia" w:ascii="宋体" w:hAnsi="宋体" w:cs="宋体"/>
                <w:color w:val="000000"/>
                <w:kern w:val="0"/>
                <w:szCs w:val="21"/>
                <w:lang w:bidi="ar"/>
              </w:rPr>
              <w:t>生长迟缓儿童青少年食养方举例。</w:t>
            </w:r>
          </w:p>
        </w:tc>
      </w:tr>
      <w:tr w14:paraId="71958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59371BA8">
            <w:pPr>
              <w:adjustRightInd w:val="0"/>
              <w:snapToGrid w:val="0"/>
              <w:spacing w:line="320" w:lineRule="exact"/>
              <w:jc w:val="center"/>
              <w:rPr>
                <w:rFonts w:hint="eastAsia" w:eastAsia="宋体"/>
                <w:szCs w:val="21"/>
                <w:lang w:val="en-US" w:eastAsia="zh-CN"/>
              </w:rPr>
            </w:pPr>
            <w:r>
              <w:rPr>
                <w:rFonts w:hint="eastAsia"/>
                <w:szCs w:val="21"/>
                <w:lang w:val="en-US" w:eastAsia="zh-CN"/>
              </w:rPr>
              <w:t>9</w:t>
            </w:r>
          </w:p>
        </w:tc>
        <w:tc>
          <w:tcPr>
            <w:tcW w:w="847" w:type="dxa"/>
            <w:vAlign w:val="center"/>
          </w:tcPr>
          <w:p w14:paraId="011409A6">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秦聪</w:t>
            </w:r>
          </w:p>
        </w:tc>
        <w:tc>
          <w:tcPr>
            <w:tcW w:w="1484" w:type="dxa"/>
            <w:vAlign w:val="center"/>
          </w:tcPr>
          <w:p w14:paraId="6927E14C">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14:paraId="3CE8E4B7">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主管技师/本科</w:t>
            </w:r>
          </w:p>
        </w:tc>
        <w:tc>
          <w:tcPr>
            <w:tcW w:w="1581" w:type="dxa"/>
            <w:vAlign w:val="center"/>
          </w:tcPr>
          <w:p w14:paraId="7478D32E">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18602571786</w:t>
            </w:r>
          </w:p>
        </w:tc>
        <w:tc>
          <w:tcPr>
            <w:tcW w:w="2240" w:type="dxa"/>
            <w:vAlign w:val="center"/>
          </w:tcPr>
          <w:p w14:paraId="6743BF74">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儿童青少年肥胖食养指南 （2024 年版）解读</w:t>
            </w:r>
          </w:p>
        </w:tc>
        <w:tc>
          <w:tcPr>
            <w:tcW w:w="5543" w:type="dxa"/>
            <w:vAlign w:val="center"/>
          </w:tcPr>
          <w:p w14:paraId="2508CEE4">
            <w:pPr>
              <w:widowControl/>
              <w:jc w:val="left"/>
              <w:rPr>
                <w:rFonts w:ascii="宋体" w:hAnsi="宋体" w:eastAsia="宋体" w:cs="宋体"/>
                <w:kern w:val="2"/>
                <w:sz w:val="21"/>
                <w:szCs w:val="21"/>
                <w:lang w:val="en-US" w:eastAsia="zh-CN" w:bidi="ar-SA"/>
              </w:rPr>
            </w:pPr>
            <w:r>
              <w:rPr>
                <w:rFonts w:hint="eastAsia" w:ascii="宋体" w:hAnsi="宋体" w:cs="宋体"/>
                <w:color w:val="000000"/>
                <w:kern w:val="0"/>
                <w:szCs w:val="21"/>
                <w:lang w:bidi="ar"/>
              </w:rPr>
              <w:t>儿童青少年的肥胖定义与判定、中医对肥胖的认识及分型；重点解读儿童青少年肥胖食养原则和建议； 引导肥胖儿童青少年正确选择食物；介绍常见食物交换表及其在生活中的应用； 不同地区食谱示例；肥胖儿童青少年食养方举例。</w:t>
            </w:r>
          </w:p>
        </w:tc>
      </w:tr>
      <w:tr w14:paraId="46FF3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0E078F81">
            <w:pPr>
              <w:adjustRightInd w:val="0"/>
              <w:snapToGrid w:val="0"/>
              <w:spacing w:line="320" w:lineRule="exact"/>
              <w:jc w:val="center"/>
              <w:rPr>
                <w:rFonts w:hint="default" w:eastAsia="宋体"/>
                <w:szCs w:val="21"/>
                <w:lang w:val="en-US" w:eastAsia="zh-CN"/>
              </w:rPr>
            </w:pPr>
            <w:r>
              <w:rPr>
                <w:rFonts w:hint="eastAsia"/>
                <w:szCs w:val="21"/>
                <w:lang w:val="en-US" w:eastAsia="zh-CN"/>
              </w:rPr>
              <w:t>10</w:t>
            </w:r>
          </w:p>
        </w:tc>
        <w:tc>
          <w:tcPr>
            <w:tcW w:w="847" w:type="dxa"/>
            <w:vAlign w:val="center"/>
          </w:tcPr>
          <w:p w14:paraId="143E5C22">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陈璐</w:t>
            </w:r>
          </w:p>
        </w:tc>
        <w:tc>
          <w:tcPr>
            <w:tcW w:w="1484" w:type="dxa"/>
            <w:vAlign w:val="center"/>
          </w:tcPr>
          <w:p w14:paraId="1A2CA504">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常州市第一人民医院</w:t>
            </w:r>
          </w:p>
        </w:tc>
        <w:tc>
          <w:tcPr>
            <w:tcW w:w="2198" w:type="dxa"/>
            <w:vAlign w:val="center"/>
          </w:tcPr>
          <w:p w14:paraId="34767D86">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科副主任/主任医师/研究生</w:t>
            </w:r>
          </w:p>
        </w:tc>
        <w:tc>
          <w:tcPr>
            <w:tcW w:w="1581" w:type="dxa"/>
            <w:vAlign w:val="center"/>
          </w:tcPr>
          <w:p w14:paraId="4BF4C5E1">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13776828270</w:t>
            </w:r>
          </w:p>
        </w:tc>
        <w:tc>
          <w:tcPr>
            <w:tcW w:w="2240" w:type="dxa"/>
            <w:vAlign w:val="center"/>
          </w:tcPr>
          <w:p w14:paraId="6E3D017B">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“知食”就是力量！</w:t>
            </w:r>
          </w:p>
        </w:tc>
        <w:tc>
          <w:tcPr>
            <w:tcW w:w="5543" w:type="dxa"/>
            <w:vAlign w:val="center"/>
          </w:tcPr>
          <w:p w14:paraId="79A63F4A">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rPr>
              <w:t>教育儿童青少年提高营养素养和做出恰当的食物选择，</w:t>
            </w:r>
            <w:r>
              <w:rPr>
                <w:rFonts w:hint="eastAsia"/>
                <w:szCs w:val="21"/>
              </w:rPr>
              <w:t>倡导学生养成均衡营养的良好习惯</w:t>
            </w:r>
            <w:r>
              <w:rPr>
                <w:rFonts w:hint="eastAsia"/>
              </w:rPr>
              <w:t>，减少儿童肥胖、糖尿病等代谢性疾病的发生，健康理念从孩子抓起！</w:t>
            </w:r>
          </w:p>
        </w:tc>
      </w:tr>
      <w:tr w14:paraId="50AF5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B44E43C">
            <w:pPr>
              <w:adjustRightInd w:val="0"/>
              <w:snapToGrid w:val="0"/>
              <w:spacing w:line="320" w:lineRule="exact"/>
              <w:jc w:val="center"/>
              <w:rPr>
                <w:rFonts w:hint="default" w:eastAsia="宋体"/>
                <w:szCs w:val="21"/>
                <w:lang w:val="en-US" w:eastAsia="zh-CN"/>
              </w:rPr>
            </w:pPr>
            <w:r>
              <w:rPr>
                <w:rFonts w:hint="eastAsia"/>
                <w:szCs w:val="21"/>
                <w:lang w:val="en-US" w:eastAsia="zh-CN"/>
              </w:rPr>
              <w:t>11</w:t>
            </w:r>
          </w:p>
        </w:tc>
        <w:tc>
          <w:tcPr>
            <w:tcW w:w="847" w:type="dxa"/>
            <w:vAlign w:val="center"/>
          </w:tcPr>
          <w:p w14:paraId="7FFFAC53">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张宏宇</w:t>
            </w:r>
          </w:p>
        </w:tc>
        <w:tc>
          <w:tcPr>
            <w:tcW w:w="1484" w:type="dxa"/>
            <w:vAlign w:val="center"/>
          </w:tcPr>
          <w:p w14:paraId="3AED065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常州市第一人民医院</w:t>
            </w:r>
          </w:p>
        </w:tc>
        <w:tc>
          <w:tcPr>
            <w:tcW w:w="2198" w:type="dxa"/>
            <w:vAlign w:val="center"/>
          </w:tcPr>
          <w:p w14:paraId="66DDEA99">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eastAsia="zh-CN"/>
              </w:rPr>
              <w:t>副护士长（主持工作）</w:t>
            </w:r>
            <w:r>
              <w:rPr>
                <w:rFonts w:hint="eastAsia"/>
                <w:szCs w:val="21"/>
                <w:lang w:val="en-US" w:eastAsia="zh-CN"/>
              </w:rPr>
              <w:t>/副主任护师/本科</w:t>
            </w:r>
          </w:p>
        </w:tc>
        <w:tc>
          <w:tcPr>
            <w:tcW w:w="1581" w:type="dxa"/>
            <w:vAlign w:val="center"/>
          </w:tcPr>
          <w:p w14:paraId="27A5354A">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13813662613</w:t>
            </w:r>
          </w:p>
        </w:tc>
        <w:tc>
          <w:tcPr>
            <w:tcW w:w="2240" w:type="dxa"/>
            <w:vAlign w:val="center"/>
          </w:tcPr>
          <w:p w14:paraId="37CE4692">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eastAsia="zh-CN"/>
              </w:rPr>
              <w:t>急救知识进校园</w:t>
            </w:r>
          </w:p>
        </w:tc>
        <w:tc>
          <w:tcPr>
            <w:tcW w:w="5543" w:type="dxa"/>
            <w:vAlign w:val="center"/>
          </w:tcPr>
          <w:p w14:paraId="1F958725">
            <w:pPr>
              <w:adjustRightInd w:val="0"/>
              <w:snapToGrid w:val="0"/>
              <w:spacing w:line="320" w:lineRule="exact"/>
              <w:rPr>
                <w:rFonts w:hint="default" w:ascii="Times New Roman" w:hAnsi="Times New Roman" w:eastAsia="宋体" w:cs="Times New Roman"/>
                <w:kern w:val="2"/>
                <w:sz w:val="21"/>
                <w:szCs w:val="24"/>
                <w:lang w:val="en-US" w:eastAsia="zh-CN" w:bidi="ar-SA"/>
              </w:rPr>
            </w:pPr>
            <w:r>
              <w:rPr>
                <w:rFonts w:hint="eastAsia"/>
                <w:lang w:eastAsia="zh-CN"/>
              </w:rPr>
              <w:t>创伤的急救处置、海姆立克急救法、心肺复苏术、</w:t>
            </w:r>
            <w:r>
              <w:rPr>
                <w:rFonts w:hint="eastAsia"/>
                <w:lang w:val="en-US" w:eastAsia="zh-CN"/>
              </w:rPr>
              <w:t>AED使用、中毒的急救处置、中暑的急救处置</w:t>
            </w:r>
          </w:p>
        </w:tc>
      </w:tr>
      <w:tr w14:paraId="6EE47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419109C">
            <w:pPr>
              <w:adjustRightInd w:val="0"/>
              <w:snapToGrid w:val="0"/>
              <w:spacing w:line="320" w:lineRule="exact"/>
              <w:jc w:val="center"/>
              <w:rPr>
                <w:rFonts w:hint="default" w:eastAsia="宋体"/>
                <w:szCs w:val="21"/>
                <w:lang w:val="en-US" w:eastAsia="zh-CN"/>
              </w:rPr>
            </w:pPr>
            <w:r>
              <w:rPr>
                <w:rFonts w:hint="eastAsia"/>
                <w:szCs w:val="21"/>
                <w:lang w:val="en-US" w:eastAsia="zh-CN"/>
              </w:rPr>
              <w:t>12</w:t>
            </w:r>
          </w:p>
        </w:tc>
        <w:tc>
          <w:tcPr>
            <w:tcW w:w="847" w:type="dxa"/>
            <w:vAlign w:val="center"/>
          </w:tcPr>
          <w:p w14:paraId="0E401B7D">
            <w:pPr>
              <w:adjustRightInd w:val="0"/>
              <w:snapToGrid w:val="0"/>
              <w:spacing w:line="320" w:lineRule="exact"/>
              <w:jc w:val="center"/>
              <w:rPr>
                <w:rFonts w:hint="eastAsia"/>
                <w:szCs w:val="21"/>
              </w:rPr>
            </w:pPr>
            <w:r>
              <w:rPr>
                <w:rFonts w:hint="eastAsia" w:ascii="宋体" w:hAnsi="宋体" w:eastAsia="宋体" w:cs="宋体"/>
                <w:color w:val="000000"/>
                <w:kern w:val="0"/>
                <w:sz w:val="21"/>
                <w:szCs w:val="21"/>
                <w:lang w:val="en-US" w:eastAsia="zh-CN" w:bidi="ar"/>
              </w:rPr>
              <w:t>孙丹</w:t>
            </w:r>
          </w:p>
        </w:tc>
        <w:tc>
          <w:tcPr>
            <w:tcW w:w="1484" w:type="dxa"/>
            <w:vAlign w:val="center"/>
          </w:tcPr>
          <w:p w14:paraId="0994402B">
            <w:pPr>
              <w:adjustRightInd w:val="0"/>
              <w:snapToGrid w:val="0"/>
              <w:spacing w:line="320" w:lineRule="exact"/>
              <w:jc w:val="center"/>
              <w:rPr>
                <w:rFonts w:hint="eastAsia"/>
                <w:szCs w:val="21"/>
              </w:rPr>
            </w:pPr>
            <w:r>
              <w:rPr>
                <w:rFonts w:hint="eastAsia" w:ascii="宋体" w:hAnsi="宋体" w:eastAsia="宋体" w:cs="宋体"/>
                <w:color w:val="000000"/>
                <w:kern w:val="0"/>
                <w:sz w:val="21"/>
                <w:szCs w:val="21"/>
                <w:lang w:val="en-US" w:eastAsia="zh-CN" w:bidi="ar"/>
              </w:rPr>
              <w:t>常州一院</w:t>
            </w:r>
          </w:p>
        </w:tc>
        <w:tc>
          <w:tcPr>
            <w:tcW w:w="2198" w:type="dxa"/>
            <w:vAlign w:val="center"/>
          </w:tcPr>
          <w:p w14:paraId="62FDA322">
            <w:pPr>
              <w:keepNext w:val="0"/>
              <w:keepLines w:val="0"/>
              <w:widowControl/>
              <w:suppressLineNumbers w:val="0"/>
              <w:jc w:val="left"/>
            </w:pPr>
            <w:r>
              <w:rPr>
                <w:rFonts w:hint="eastAsia" w:ascii="宋体" w:hAnsi="宋体" w:eastAsia="宋体" w:cs="宋体"/>
                <w:color w:val="000000"/>
                <w:kern w:val="0"/>
                <w:sz w:val="21"/>
                <w:szCs w:val="21"/>
                <w:lang w:val="en-US" w:eastAsia="zh-CN" w:bidi="ar"/>
              </w:rPr>
              <w:t>肾内科主治医生</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硕士 </w:t>
            </w:r>
          </w:p>
          <w:p w14:paraId="14A22EC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研究生 </w:t>
            </w:r>
          </w:p>
          <w:p w14:paraId="277CDFD9">
            <w:pPr>
              <w:adjustRightInd w:val="0"/>
              <w:snapToGrid w:val="0"/>
              <w:spacing w:line="320" w:lineRule="exact"/>
              <w:jc w:val="center"/>
              <w:rPr>
                <w:rFonts w:hint="eastAsia"/>
                <w:szCs w:val="21"/>
              </w:rPr>
            </w:pPr>
          </w:p>
        </w:tc>
        <w:tc>
          <w:tcPr>
            <w:tcW w:w="1581" w:type="dxa"/>
            <w:vAlign w:val="center"/>
          </w:tcPr>
          <w:p w14:paraId="0971F99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13915896276 </w:t>
            </w:r>
          </w:p>
          <w:p w14:paraId="0E359BF3">
            <w:pPr>
              <w:adjustRightInd w:val="0"/>
              <w:snapToGrid w:val="0"/>
              <w:spacing w:line="320" w:lineRule="exact"/>
              <w:jc w:val="center"/>
              <w:rPr>
                <w:rFonts w:hint="eastAsia"/>
                <w:szCs w:val="21"/>
              </w:rPr>
            </w:pPr>
          </w:p>
        </w:tc>
        <w:tc>
          <w:tcPr>
            <w:tcW w:w="2240" w:type="dxa"/>
            <w:vAlign w:val="center"/>
          </w:tcPr>
          <w:p w14:paraId="78B42D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14:paraId="15A138BD">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如何保护肾脏以及早 </w:t>
            </w:r>
          </w:p>
          <w:p w14:paraId="2FB3263E">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期识别肾脏病 </w:t>
            </w:r>
          </w:p>
          <w:p w14:paraId="55BA91FF">
            <w:pPr>
              <w:adjustRightInd w:val="0"/>
              <w:snapToGrid w:val="0"/>
              <w:spacing w:line="320" w:lineRule="exact"/>
              <w:rPr>
                <w:rFonts w:hint="eastAsia"/>
                <w:szCs w:val="21"/>
              </w:rPr>
            </w:pPr>
          </w:p>
        </w:tc>
        <w:tc>
          <w:tcPr>
            <w:tcW w:w="5543" w:type="dxa"/>
            <w:vAlign w:val="center"/>
          </w:tcPr>
          <w:p w14:paraId="2B620E8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肾脏在人体内的作用；</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哪些不良习惯会损伤肾脏；</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如 </w:t>
            </w:r>
          </w:p>
          <w:p w14:paraId="252659DF">
            <w:pPr>
              <w:keepNext w:val="0"/>
              <w:keepLines w:val="0"/>
              <w:widowControl/>
              <w:suppressLineNumbers w:val="0"/>
              <w:jc w:val="left"/>
            </w:pPr>
            <w:r>
              <w:rPr>
                <w:rFonts w:hint="eastAsia" w:ascii="宋体" w:hAnsi="宋体" w:eastAsia="宋体" w:cs="宋体"/>
                <w:color w:val="000000"/>
                <w:kern w:val="0"/>
                <w:sz w:val="21"/>
                <w:szCs w:val="21"/>
                <w:lang w:val="en-US" w:eastAsia="zh-CN" w:bidi="ar"/>
              </w:rPr>
              <w:t>何早期识别肾脏病；</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肾脏病的防治</w:t>
            </w:r>
          </w:p>
          <w:p w14:paraId="2263FDF5">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14:paraId="03AA2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572F86D9">
            <w:pPr>
              <w:adjustRightInd w:val="0"/>
              <w:snapToGrid w:val="0"/>
              <w:spacing w:line="320" w:lineRule="exact"/>
              <w:jc w:val="center"/>
              <w:rPr>
                <w:rFonts w:hint="default" w:eastAsia="宋体"/>
                <w:szCs w:val="21"/>
                <w:lang w:val="en-US" w:eastAsia="zh-CN"/>
              </w:rPr>
            </w:pPr>
            <w:r>
              <w:rPr>
                <w:rFonts w:hint="eastAsia"/>
                <w:szCs w:val="21"/>
                <w:lang w:val="en-US" w:eastAsia="zh-CN"/>
              </w:rPr>
              <w:t>13</w:t>
            </w:r>
          </w:p>
        </w:tc>
        <w:tc>
          <w:tcPr>
            <w:tcW w:w="847" w:type="dxa"/>
            <w:vAlign w:val="center"/>
          </w:tcPr>
          <w:p w14:paraId="498FF31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沈惠娟</w:t>
            </w:r>
          </w:p>
        </w:tc>
        <w:tc>
          <w:tcPr>
            <w:tcW w:w="1484" w:type="dxa"/>
            <w:vAlign w:val="center"/>
          </w:tcPr>
          <w:p w14:paraId="1D359DA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常州市儿童医院</w:t>
            </w:r>
          </w:p>
        </w:tc>
        <w:tc>
          <w:tcPr>
            <w:tcW w:w="2198" w:type="dxa"/>
            <w:vAlign w:val="center"/>
          </w:tcPr>
          <w:p w14:paraId="1099FD7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科主任、主任中医师</w:t>
            </w:r>
          </w:p>
        </w:tc>
        <w:tc>
          <w:tcPr>
            <w:tcW w:w="1581" w:type="dxa"/>
            <w:vAlign w:val="center"/>
          </w:tcPr>
          <w:p w14:paraId="5DA1078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13961186058</w:t>
            </w:r>
          </w:p>
        </w:tc>
        <w:tc>
          <w:tcPr>
            <w:tcW w:w="2240" w:type="dxa"/>
            <w:vAlign w:val="center"/>
          </w:tcPr>
          <w:p w14:paraId="29CFF666">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注意力训练，让学习更专注</w:t>
            </w:r>
          </w:p>
        </w:tc>
        <w:tc>
          <w:tcPr>
            <w:tcW w:w="5543" w:type="dxa"/>
            <w:vAlign w:val="center"/>
          </w:tcPr>
          <w:p w14:paraId="26305A32">
            <w:pPr>
              <w:spacing w:line="288" w:lineRule="auto"/>
              <w:ind w:firstLine="420" w:firstLineChars="200"/>
              <w:rPr>
                <w:szCs w:val="21"/>
              </w:rPr>
            </w:pPr>
            <w:r>
              <w:rPr>
                <w:rFonts w:hint="eastAsia"/>
                <w:szCs w:val="21"/>
              </w:rPr>
              <w:t>注意力是儿童青少年期学习能力发展的“窗口”，所有的认知活动都离不开注意力这个“第一步骤”。严重的注意力不集中</w:t>
            </w:r>
            <w:r>
              <w:rPr>
                <w:szCs w:val="21"/>
              </w:rPr>
              <w:t>会导致儿童青少年学业、人际、家庭关系等多方面的损害。</w:t>
            </w:r>
          </w:p>
          <w:p w14:paraId="28B07394">
            <w:pPr>
              <w:spacing w:line="288" w:lineRule="auto"/>
              <w:ind w:firstLine="420" w:firstLineChars="200"/>
              <w:rPr>
                <w:szCs w:val="21"/>
              </w:rPr>
            </w:pPr>
            <w:r>
              <w:rPr>
                <w:rFonts w:hint="eastAsia"/>
                <w:szCs w:val="21"/>
              </w:rPr>
              <w:t>本课程针对小学生，抓住注意力发展和训练的关键期，用科学的方法，在校或者居家训练，提升促进注意力，增强学习力。</w:t>
            </w:r>
          </w:p>
          <w:p w14:paraId="601F9801">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14:paraId="078F4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347309C4">
            <w:pPr>
              <w:adjustRightInd w:val="0"/>
              <w:snapToGrid w:val="0"/>
              <w:spacing w:line="320" w:lineRule="exact"/>
              <w:jc w:val="center"/>
              <w:rPr>
                <w:rFonts w:hint="default" w:eastAsia="宋体"/>
                <w:szCs w:val="21"/>
                <w:lang w:val="en-US" w:eastAsia="zh-CN"/>
              </w:rPr>
            </w:pPr>
            <w:r>
              <w:rPr>
                <w:rFonts w:hint="eastAsia"/>
                <w:szCs w:val="21"/>
                <w:lang w:val="en-US" w:eastAsia="zh-CN"/>
              </w:rPr>
              <w:t>14</w:t>
            </w:r>
          </w:p>
        </w:tc>
        <w:tc>
          <w:tcPr>
            <w:tcW w:w="847" w:type="dxa"/>
            <w:vAlign w:val="center"/>
          </w:tcPr>
          <w:p w14:paraId="05661294">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沈惠娟</w:t>
            </w:r>
          </w:p>
        </w:tc>
        <w:tc>
          <w:tcPr>
            <w:tcW w:w="1484" w:type="dxa"/>
            <w:vAlign w:val="center"/>
          </w:tcPr>
          <w:p w14:paraId="3908487C">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常州市儿童医院</w:t>
            </w:r>
          </w:p>
        </w:tc>
        <w:tc>
          <w:tcPr>
            <w:tcW w:w="2198" w:type="dxa"/>
            <w:vAlign w:val="center"/>
          </w:tcPr>
          <w:p w14:paraId="691517E2">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科主任、主任中医师</w:t>
            </w:r>
          </w:p>
        </w:tc>
        <w:tc>
          <w:tcPr>
            <w:tcW w:w="1581" w:type="dxa"/>
            <w:vAlign w:val="center"/>
          </w:tcPr>
          <w:p w14:paraId="5EC2CF0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13961186058</w:t>
            </w:r>
          </w:p>
        </w:tc>
        <w:tc>
          <w:tcPr>
            <w:tcW w:w="2240" w:type="dxa"/>
            <w:vAlign w:val="center"/>
          </w:tcPr>
          <w:p w14:paraId="71EB0628">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通情达理，做情绪的主人</w:t>
            </w:r>
          </w:p>
        </w:tc>
        <w:tc>
          <w:tcPr>
            <w:tcW w:w="5543" w:type="dxa"/>
            <w:vAlign w:val="center"/>
          </w:tcPr>
          <w:p w14:paraId="2D0EDC34">
            <w:pPr>
              <w:spacing w:line="288" w:lineRule="auto"/>
              <w:ind w:firstLine="420" w:firstLineChars="200"/>
              <w:rPr>
                <w:szCs w:val="21"/>
              </w:rPr>
            </w:pPr>
            <w:r>
              <w:rPr>
                <w:rFonts w:hint="eastAsia"/>
                <w:szCs w:val="21"/>
              </w:rPr>
              <w:t>儿童青少年期正处在人生观、价值观形成的关键时期，情绪容易起伏不定，易冲动、不稳定、难自控、遇事易走极端等特点。</w:t>
            </w:r>
          </w:p>
          <w:p w14:paraId="187A446C">
            <w:pPr>
              <w:spacing w:line="288" w:lineRule="auto"/>
              <w:ind w:firstLine="420"/>
              <w:rPr>
                <w:szCs w:val="21"/>
              </w:rPr>
            </w:pPr>
            <w:r>
              <w:rPr>
                <w:rFonts w:hint="eastAsia"/>
                <w:szCs w:val="21"/>
              </w:rPr>
              <w:t>本课程针对小学生，帮助孩子了解情绪的表现及情绪对人身心健康的影响，清楚的知道情绪产生的原因、如何正确处理，应用有效的方法对自己的情绪进行调适。</w:t>
            </w:r>
          </w:p>
          <w:p w14:paraId="61F48638">
            <w:pPr>
              <w:spacing w:line="312" w:lineRule="auto"/>
              <w:ind w:firstLine="420" w:firstLineChars="0"/>
              <w:rPr>
                <w:rFonts w:hint="eastAsia" w:ascii="Times New Roman" w:hAnsi="Times New Roman" w:eastAsia="宋体" w:cs="Times New Roman"/>
                <w:kern w:val="2"/>
                <w:sz w:val="21"/>
                <w:szCs w:val="21"/>
                <w:lang w:val="en-US" w:eastAsia="zh-CN" w:bidi="ar-SA"/>
              </w:rPr>
            </w:pPr>
          </w:p>
        </w:tc>
      </w:tr>
      <w:tr w14:paraId="0F417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28E412DF">
            <w:pPr>
              <w:adjustRightInd w:val="0"/>
              <w:snapToGrid w:val="0"/>
              <w:spacing w:line="320" w:lineRule="exact"/>
              <w:jc w:val="center"/>
              <w:rPr>
                <w:rFonts w:hint="default" w:eastAsia="宋体"/>
                <w:szCs w:val="21"/>
                <w:lang w:val="en-US" w:eastAsia="zh-CN"/>
              </w:rPr>
            </w:pPr>
            <w:r>
              <w:rPr>
                <w:rFonts w:hint="eastAsia"/>
                <w:szCs w:val="21"/>
                <w:lang w:val="en-US" w:eastAsia="zh-CN"/>
              </w:rPr>
              <w:t>15</w:t>
            </w:r>
          </w:p>
        </w:tc>
        <w:tc>
          <w:tcPr>
            <w:tcW w:w="847" w:type="dxa"/>
            <w:vAlign w:val="center"/>
          </w:tcPr>
          <w:p w14:paraId="383F10C0">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周佳鹏</w:t>
            </w:r>
          </w:p>
        </w:tc>
        <w:tc>
          <w:tcPr>
            <w:tcW w:w="1484" w:type="dxa"/>
            <w:vAlign w:val="center"/>
          </w:tcPr>
          <w:p w14:paraId="6A815CA3">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14:paraId="561E60FA">
            <w:pPr>
              <w:widowControl/>
              <w:spacing w:line="280" w:lineRule="exact"/>
              <w:jc w:val="center"/>
              <w:rPr>
                <w:rFonts w:ascii="Times New Roman" w:hAnsi="Times New Roman"/>
                <w:szCs w:val="21"/>
              </w:rPr>
            </w:pPr>
            <w:r>
              <w:rPr>
                <w:rFonts w:ascii="Times New Roman" w:hAnsi="Times New Roman"/>
                <w:color w:val="000000"/>
                <w:kern w:val="0"/>
                <w:szCs w:val="21"/>
                <w:lang w:bidi="ar"/>
              </w:rPr>
              <w:t>协会</w:t>
            </w:r>
            <w:r>
              <w:rPr>
                <w:rFonts w:hint="eastAsia" w:ascii="Times New Roman" w:hAnsi="Times New Roman"/>
                <w:color w:val="000000"/>
                <w:kern w:val="0"/>
                <w:szCs w:val="21"/>
                <w:lang w:val="en-US" w:eastAsia="zh-CN" w:bidi="ar"/>
              </w:rPr>
              <w:t>副</w:t>
            </w:r>
            <w:r>
              <w:rPr>
                <w:rFonts w:ascii="Times New Roman" w:hAnsi="Times New Roman"/>
                <w:color w:val="000000"/>
                <w:kern w:val="0"/>
                <w:szCs w:val="21"/>
                <w:lang w:bidi="ar"/>
              </w:rPr>
              <w:t>秘书长/工程师/</w:t>
            </w:r>
          </w:p>
          <w:p w14:paraId="7BFA5015">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本科</w:t>
            </w:r>
          </w:p>
        </w:tc>
        <w:tc>
          <w:tcPr>
            <w:tcW w:w="1581" w:type="dxa"/>
            <w:vAlign w:val="center"/>
          </w:tcPr>
          <w:p w14:paraId="0A849518">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14:paraId="4DA139FE">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人工智能与  ChatGPT 未来发展趋势</w:t>
            </w:r>
          </w:p>
        </w:tc>
        <w:tc>
          <w:tcPr>
            <w:tcW w:w="5543" w:type="dxa"/>
            <w:vAlign w:val="center"/>
          </w:tcPr>
          <w:p w14:paraId="5CF6071D">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主要介绍了人工智能技术在自然语言处理领域的应用， ChatGPT 技术的原理、优势及未来发展趋势。以及在智能 客服、智能问答等方面的广泛应用。ChatGPT 技术在未来 的发展中将会更加成熟和普及，成为人工智能技术的一个 重要分支。ChatGPT 在实际应用中需要解决的问题和挑战。</w:t>
            </w:r>
          </w:p>
        </w:tc>
      </w:tr>
      <w:tr w14:paraId="2E0F9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815E5BC">
            <w:pPr>
              <w:adjustRightInd w:val="0"/>
              <w:snapToGrid w:val="0"/>
              <w:spacing w:line="320" w:lineRule="exact"/>
              <w:jc w:val="center"/>
              <w:rPr>
                <w:rFonts w:hint="default" w:eastAsia="宋体"/>
                <w:szCs w:val="21"/>
                <w:lang w:val="en-US" w:eastAsia="zh-CN"/>
              </w:rPr>
            </w:pPr>
            <w:r>
              <w:rPr>
                <w:rFonts w:hint="eastAsia"/>
                <w:szCs w:val="21"/>
                <w:lang w:val="en-US" w:eastAsia="zh-CN"/>
              </w:rPr>
              <w:t>16</w:t>
            </w:r>
          </w:p>
        </w:tc>
        <w:tc>
          <w:tcPr>
            <w:tcW w:w="847" w:type="dxa"/>
            <w:vAlign w:val="center"/>
          </w:tcPr>
          <w:p w14:paraId="7CA7867F">
            <w:pPr>
              <w:widowControl/>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周佳鹏</w:t>
            </w:r>
          </w:p>
        </w:tc>
        <w:tc>
          <w:tcPr>
            <w:tcW w:w="1484" w:type="dxa"/>
            <w:vAlign w:val="center"/>
          </w:tcPr>
          <w:p w14:paraId="370C2108">
            <w:pPr>
              <w:adjustRightInd w:val="0"/>
              <w:snapToGrid w:val="0"/>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常州市机器人 科技协会</w:t>
            </w:r>
          </w:p>
        </w:tc>
        <w:tc>
          <w:tcPr>
            <w:tcW w:w="2198" w:type="dxa"/>
            <w:vAlign w:val="center"/>
          </w:tcPr>
          <w:p w14:paraId="2FF56E16">
            <w:pPr>
              <w:widowControl/>
              <w:spacing w:line="280" w:lineRule="exact"/>
              <w:jc w:val="center"/>
              <w:rPr>
                <w:rFonts w:ascii="Times New Roman" w:hAnsi="Times New Roman"/>
                <w:szCs w:val="21"/>
              </w:rPr>
            </w:pPr>
            <w:r>
              <w:rPr>
                <w:rFonts w:ascii="Times New Roman" w:hAnsi="Times New Roman"/>
                <w:color w:val="000000"/>
                <w:kern w:val="0"/>
                <w:szCs w:val="21"/>
                <w:lang w:bidi="ar"/>
              </w:rPr>
              <w:t>协会</w:t>
            </w:r>
            <w:r>
              <w:rPr>
                <w:rFonts w:hint="eastAsia" w:ascii="Times New Roman" w:hAnsi="Times New Roman"/>
                <w:color w:val="000000"/>
                <w:kern w:val="0"/>
                <w:szCs w:val="21"/>
                <w:lang w:val="en-US" w:eastAsia="zh-CN" w:bidi="ar"/>
              </w:rPr>
              <w:t>副</w:t>
            </w:r>
            <w:r>
              <w:rPr>
                <w:rFonts w:ascii="Times New Roman" w:hAnsi="Times New Roman"/>
                <w:color w:val="000000"/>
                <w:kern w:val="0"/>
                <w:szCs w:val="21"/>
                <w:lang w:bidi="ar"/>
              </w:rPr>
              <w:t>秘书长/工程师/</w:t>
            </w:r>
          </w:p>
          <w:p w14:paraId="77BF8A27">
            <w:pPr>
              <w:widowControl/>
              <w:spacing w:line="28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本科</w:t>
            </w:r>
          </w:p>
        </w:tc>
        <w:tc>
          <w:tcPr>
            <w:tcW w:w="1581" w:type="dxa"/>
            <w:vAlign w:val="center"/>
          </w:tcPr>
          <w:p w14:paraId="4310D87E">
            <w:pPr>
              <w:adjustRightInd w:val="0"/>
              <w:snapToGrid w:val="0"/>
              <w:spacing w:line="280" w:lineRule="exact"/>
              <w:jc w:val="center"/>
              <w:rPr>
                <w:rFonts w:hint="eastAsia" w:ascii="Times New Roman" w:hAnsi="Times New Roman" w:eastAsia="宋体" w:cs="Times New Roman"/>
                <w:kern w:val="0"/>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14:paraId="54B5D37F">
            <w:pPr>
              <w:widowControl/>
              <w:spacing w:line="320" w:lineRule="exact"/>
              <w:jc w:val="center"/>
              <w:rPr>
                <w:rFonts w:ascii="Times New Roman" w:hAnsi="Times New Roman"/>
                <w:szCs w:val="21"/>
              </w:rPr>
            </w:pPr>
            <w:r>
              <w:rPr>
                <w:rFonts w:ascii="Times New Roman" w:hAnsi="Times New Roman"/>
                <w:color w:val="000000"/>
                <w:kern w:val="0"/>
                <w:szCs w:val="21"/>
                <w:lang w:bidi="ar"/>
              </w:rPr>
              <w:t>仿生机器人设计</w:t>
            </w:r>
          </w:p>
          <w:p w14:paraId="5A4AC301">
            <w:pPr>
              <w:tabs>
                <w:tab w:val="left" w:pos="720"/>
              </w:tabs>
              <w:adjustRightInd w:val="0"/>
              <w:snapToGrid w:val="0"/>
              <w:spacing w:line="320" w:lineRule="exact"/>
              <w:jc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与实践</w:t>
            </w:r>
          </w:p>
        </w:tc>
        <w:tc>
          <w:tcPr>
            <w:tcW w:w="5543" w:type="dxa"/>
            <w:vAlign w:val="center"/>
          </w:tcPr>
          <w:p w14:paraId="57F766E1">
            <w:pPr>
              <w:widowControl/>
              <w:spacing w:line="320" w:lineRule="exact"/>
              <w:jc w:val="both"/>
              <w:rPr>
                <w:rFonts w:ascii="Times New Roman" w:hAnsi="Times New Roman"/>
                <w:szCs w:val="21"/>
              </w:rPr>
            </w:pPr>
            <w:r>
              <w:rPr>
                <w:rFonts w:ascii="Times New Roman" w:hAnsi="Times New Roman"/>
                <w:color w:val="000000"/>
                <w:kern w:val="0"/>
                <w:szCs w:val="21"/>
                <w:lang w:bidi="ar"/>
              </w:rPr>
              <w:t>包含创意机器人设计和机器人制作两部分，利用小型直</w:t>
            </w:r>
          </w:p>
          <w:p w14:paraId="123B6595">
            <w:pPr>
              <w:widowControl/>
              <w:spacing w:line="320" w:lineRule="exact"/>
              <w:jc w:val="both"/>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流电机为动力，通过简单的机械传动，做出模仿生物运动方式的机器人结构。</w:t>
            </w:r>
          </w:p>
        </w:tc>
      </w:tr>
      <w:tr w14:paraId="555BB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3E859EFB">
            <w:pPr>
              <w:adjustRightInd w:val="0"/>
              <w:snapToGrid w:val="0"/>
              <w:spacing w:line="320" w:lineRule="exact"/>
              <w:jc w:val="center"/>
              <w:rPr>
                <w:rFonts w:hint="default" w:eastAsia="宋体"/>
                <w:szCs w:val="21"/>
                <w:lang w:val="en-US" w:eastAsia="zh-CN"/>
              </w:rPr>
            </w:pPr>
            <w:r>
              <w:rPr>
                <w:rFonts w:hint="eastAsia"/>
                <w:szCs w:val="21"/>
                <w:lang w:val="en-US" w:eastAsia="zh-CN"/>
              </w:rPr>
              <w:t>17</w:t>
            </w:r>
          </w:p>
        </w:tc>
        <w:tc>
          <w:tcPr>
            <w:tcW w:w="847" w:type="dxa"/>
            <w:vAlign w:val="center"/>
          </w:tcPr>
          <w:p w14:paraId="4A6A2D70">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钱运涛</w:t>
            </w:r>
          </w:p>
        </w:tc>
        <w:tc>
          <w:tcPr>
            <w:tcW w:w="1484" w:type="dxa"/>
            <w:vAlign w:val="center"/>
          </w:tcPr>
          <w:p w14:paraId="212604CE">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14:paraId="0B90859A">
            <w:pPr>
              <w:widowControl/>
              <w:spacing w:line="280" w:lineRule="exact"/>
              <w:jc w:val="center"/>
              <w:rPr>
                <w:rFonts w:ascii="Times New Roman" w:hAnsi="Times New Roman"/>
                <w:szCs w:val="21"/>
              </w:rPr>
            </w:pPr>
            <w:r>
              <w:rPr>
                <w:rFonts w:ascii="Times New Roman" w:hAnsi="Times New Roman"/>
                <w:color w:val="000000"/>
                <w:kern w:val="0"/>
                <w:szCs w:val="21"/>
                <w:lang w:bidi="ar"/>
              </w:rPr>
              <w:t>科普部副部长/实验师</w:t>
            </w:r>
          </w:p>
          <w:p w14:paraId="737B3ABB">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/硕士</w:t>
            </w:r>
          </w:p>
        </w:tc>
        <w:tc>
          <w:tcPr>
            <w:tcW w:w="1581" w:type="dxa"/>
            <w:vAlign w:val="center"/>
          </w:tcPr>
          <w:p w14:paraId="59F81218">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14:paraId="18C5595C">
            <w:pPr>
              <w:widowControl/>
              <w:spacing w:line="280" w:lineRule="exact"/>
              <w:jc w:val="center"/>
              <w:rPr>
                <w:rFonts w:ascii="Times New Roman" w:hAnsi="Times New Roman"/>
                <w:color w:val="000000"/>
                <w:kern w:val="0"/>
                <w:szCs w:val="21"/>
                <w:lang w:bidi="ar"/>
              </w:rPr>
            </w:pPr>
            <w:r>
              <w:rPr>
                <w:rFonts w:ascii="Times New Roman" w:hAnsi="Times New Roman"/>
                <w:color w:val="000000"/>
                <w:kern w:val="0"/>
                <w:szCs w:val="21"/>
                <w:lang w:bidi="ar"/>
              </w:rPr>
              <w:t>工程化思维与科技</w:t>
            </w:r>
          </w:p>
          <w:p w14:paraId="4E4D0801">
            <w:pPr>
              <w:widowControl/>
              <w:spacing w:line="280" w:lineRule="exact"/>
              <w:jc w:val="center"/>
              <w:rPr>
                <w:rFonts w:ascii="Times New Roman" w:hAnsi="Times New Roman"/>
                <w:szCs w:val="21"/>
              </w:rPr>
            </w:pPr>
            <w:r>
              <w:rPr>
                <w:rFonts w:ascii="Times New Roman" w:hAnsi="Times New Roman"/>
                <w:color w:val="000000"/>
                <w:kern w:val="0"/>
                <w:szCs w:val="21"/>
                <w:lang w:bidi="ar"/>
              </w:rPr>
              <w:t>创</w:t>
            </w:r>
          </w:p>
          <w:p w14:paraId="3F546837">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新</w:t>
            </w:r>
          </w:p>
        </w:tc>
        <w:tc>
          <w:tcPr>
            <w:tcW w:w="5543" w:type="dxa"/>
            <w:vAlign w:val="center"/>
          </w:tcPr>
          <w:p w14:paraId="4A3A583D">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在以机器人为载体的教学中加强工程化思想的教学，强调系统性、完整性，倡导闭环的教学与实验模式，在不断渐进中锻炼创新能力。</w:t>
            </w:r>
          </w:p>
        </w:tc>
      </w:tr>
      <w:tr w14:paraId="32510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F959F35">
            <w:pPr>
              <w:adjustRightInd w:val="0"/>
              <w:snapToGrid w:val="0"/>
              <w:spacing w:line="320" w:lineRule="exact"/>
              <w:jc w:val="center"/>
              <w:rPr>
                <w:rFonts w:hint="default" w:eastAsia="宋体"/>
                <w:szCs w:val="21"/>
                <w:lang w:val="en-US" w:eastAsia="zh-CN"/>
              </w:rPr>
            </w:pPr>
            <w:r>
              <w:rPr>
                <w:rFonts w:hint="eastAsia"/>
                <w:szCs w:val="21"/>
                <w:lang w:val="en-US" w:eastAsia="zh-CN"/>
              </w:rPr>
              <w:t>18</w:t>
            </w:r>
          </w:p>
        </w:tc>
        <w:tc>
          <w:tcPr>
            <w:tcW w:w="847" w:type="dxa"/>
            <w:vAlign w:val="center"/>
          </w:tcPr>
          <w:p w14:paraId="2E49BC61">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钱运涛</w:t>
            </w:r>
          </w:p>
        </w:tc>
        <w:tc>
          <w:tcPr>
            <w:tcW w:w="1484" w:type="dxa"/>
            <w:vAlign w:val="center"/>
          </w:tcPr>
          <w:p w14:paraId="21B36888">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常州市机器人 科技协会</w:t>
            </w:r>
          </w:p>
        </w:tc>
        <w:tc>
          <w:tcPr>
            <w:tcW w:w="2198" w:type="dxa"/>
            <w:vAlign w:val="center"/>
          </w:tcPr>
          <w:p w14:paraId="092A996C">
            <w:pPr>
              <w:widowControl/>
              <w:spacing w:line="280" w:lineRule="exact"/>
              <w:jc w:val="center"/>
              <w:rPr>
                <w:rFonts w:ascii="Times New Roman" w:hAnsi="Times New Roman"/>
                <w:szCs w:val="21"/>
              </w:rPr>
            </w:pPr>
            <w:r>
              <w:rPr>
                <w:rFonts w:ascii="Times New Roman" w:hAnsi="Times New Roman"/>
                <w:color w:val="000000"/>
                <w:kern w:val="0"/>
                <w:szCs w:val="21"/>
                <w:lang w:bidi="ar"/>
              </w:rPr>
              <w:t>科普部副部长/实验师</w:t>
            </w:r>
          </w:p>
          <w:p w14:paraId="4763744D">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/硕士</w:t>
            </w:r>
          </w:p>
        </w:tc>
        <w:tc>
          <w:tcPr>
            <w:tcW w:w="1581" w:type="dxa"/>
            <w:vAlign w:val="center"/>
          </w:tcPr>
          <w:p w14:paraId="5B06A50D">
            <w:pPr>
              <w:adjustRightInd w:val="0"/>
              <w:snapToGrid w:val="0"/>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kern w:val="0"/>
                <w:szCs w:val="21"/>
              </w:rPr>
              <w:t>0519</w:t>
            </w:r>
            <w:r>
              <w:rPr>
                <w:rFonts w:hint="eastAsia" w:ascii="Times New Roman" w:hAnsi="Times New Roman"/>
                <w:kern w:val="0"/>
                <w:szCs w:val="21"/>
              </w:rPr>
              <w:t>-</w:t>
            </w:r>
            <w:r>
              <w:rPr>
                <w:rFonts w:ascii="Times New Roman" w:hAnsi="Times New Roman"/>
                <w:kern w:val="0"/>
                <w:szCs w:val="21"/>
              </w:rPr>
              <w:t>86662086</w:t>
            </w:r>
          </w:p>
        </w:tc>
        <w:tc>
          <w:tcPr>
            <w:tcW w:w="2240" w:type="dxa"/>
            <w:vAlign w:val="center"/>
          </w:tcPr>
          <w:p w14:paraId="560A3F40">
            <w:pPr>
              <w:widowControl/>
              <w:spacing w:line="28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怎么来理解“大数据”</w:t>
            </w:r>
          </w:p>
        </w:tc>
        <w:tc>
          <w:tcPr>
            <w:tcW w:w="5543" w:type="dxa"/>
            <w:vAlign w:val="center"/>
          </w:tcPr>
          <w:p w14:paraId="01E625EA">
            <w:pPr>
              <w:widowControl/>
              <w:spacing w:line="280" w:lineRule="exact"/>
              <w:ind w:firstLine="420" w:firstLineChars="200"/>
              <w:jc w:val="both"/>
              <w:rPr>
                <w:rFonts w:hint="eastAsia" w:ascii="Times New Roman" w:hAnsi="Times New Roman" w:eastAsia="宋体" w:cs="Times New Roman"/>
                <w:kern w:val="2"/>
                <w:sz w:val="21"/>
                <w:szCs w:val="21"/>
                <w:lang w:val="en-US" w:eastAsia="zh-CN" w:bidi="ar-SA"/>
              </w:rPr>
            </w:pPr>
            <w:r>
              <w:rPr>
                <w:rFonts w:ascii="Times New Roman" w:hAnsi="Times New Roman"/>
                <w:color w:val="000000"/>
                <w:kern w:val="0"/>
                <w:szCs w:val="21"/>
                <w:lang w:bidi="ar"/>
              </w:rPr>
              <w:t>专业人士对大数据的非专业性解释，大数据引入的新的评价机制、基于多学科的融合式教学探讨</w:t>
            </w:r>
            <w:r>
              <w:rPr>
                <w:rFonts w:hint="eastAsia" w:ascii="Times New Roman" w:hAnsi="Times New Roman"/>
                <w:color w:val="000000"/>
                <w:kern w:val="0"/>
                <w:szCs w:val="21"/>
                <w:lang w:bidi="ar"/>
              </w:rPr>
              <w:t>。</w:t>
            </w:r>
          </w:p>
        </w:tc>
      </w:tr>
      <w:tr w14:paraId="3536F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684E0D2F">
            <w:pPr>
              <w:adjustRightInd w:val="0"/>
              <w:snapToGrid w:val="0"/>
              <w:spacing w:line="320" w:lineRule="exact"/>
              <w:jc w:val="center"/>
              <w:rPr>
                <w:rFonts w:hint="default" w:eastAsia="宋体"/>
                <w:szCs w:val="21"/>
                <w:lang w:val="en-US" w:eastAsia="zh-CN"/>
              </w:rPr>
            </w:pPr>
            <w:r>
              <w:rPr>
                <w:rFonts w:hint="eastAsia"/>
                <w:szCs w:val="21"/>
                <w:lang w:val="en-US" w:eastAsia="zh-CN"/>
              </w:rPr>
              <w:t>19</w:t>
            </w:r>
          </w:p>
        </w:tc>
        <w:tc>
          <w:tcPr>
            <w:tcW w:w="847" w:type="dxa"/>
            <w:vAlign w:val="center"/>
          </w:tcPr>
          <w:p w14:paraId="1968630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汪斌</w:t>
            </w:r>
          </w:p>
        </w:tc>
        <w:tc>
          <w:tcPr>
            <w:tcW w:w="1484" w:type="dxa"/>
            <w:vAlign w:val="center"/>
          </w:tcPr>
          <w:p w14:paraId="6B2032C5">
            <w:pPr>
              <w:adjustRightInd w:val="0"/>
              <w:snapToGrid w:val="0"/>
              <w:spacing w:line="320" w:lineRule="exact"/>
              <w:jc w:val="center"/>
              <w:rPr>
                <w:rFonts w:ascii="Times New Roman" w:hAnsi="Times New Roman" w:eastAsia="宋体" w:cs="Times New Roman"/>
                <w:kern w:val="2"/>
                <w:sz w:val="21"/>
                <w:szCs w:val="21"/>
                <w:lang w:val="en-US" w:eastAsia="zh-CN" w:bidi="ar-SA"/>
              </w:rPr>
            </w:pPr>
            <w:r>
              <w:rPr>
                <w:rFonts w:hint="eastAsia"/>
                <w:szCs w:val="21"/>
              </w:rPr>
              <w:t>常州市电子学会</w:t>
            </w:r>
          </w:p>
        </w:tc>
        <w:tc>
          <w:tcPr>
            <w:tcW w:w="2198" w:type="dxa"/>
            <w:vAlign w:val="center"/>
          </w:tcPr>
          <w:p w14:paraId="05760FBA">
            <w:pPr>
              <w:adjustRightInd w:val="0"/>
              <w:snapToGrid w:val="0"/>
              <w:spacing w:line="320" w:lineRule="exact"/>
              <w:jc w:val="center"/>
              <w:rPr>
                <w:rFonts w:ascii="Times New Roman" w:hAnsi="Times New Roman" w:eastAsia="宋体" w:cs="Times New Roman"/>
                <w:kern w:val="2"/>
                <w:sz w:val="21"/>
                <w:szCs w:val="21"/>
                <w:lang w:val="en-US" w:eastAsia="zh-CN" w:bidi="ar-SA"/>
              </w:rPr>
            </w:pPr>
          </w:p>
        </w:tc>
        <w:tc>
          <w:tcPr>
            <w:tcW w:w="1581" w:type="dxa"/>
            <w:vAlign w:val="center"/>
          </w:tcPr>
          <w:p w14:paraId="73933104">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18112322821</w:t>
            </w:r>
          </w:p>
        </w:tc>
        <w:tc>
          <w:tcPr>
            <w:tcW w:w="2240" w:type="dxa"/>
            <w:vAlign w:val="center"/>
          </w:tcPr>
          <w:p w14:paraId="472A4B39">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你好，人工智能</w:t>
            </w:r>
          </w:p>
        </w:tc>
        <w:tc>
          <w:tcPr>
            <w:tcW w:w="5543" w:type="dxa"/>
            <w:vAlign w:val="center"/>
          </w:tcPr>
          <w:p w14:paraId="53A9342B">
            <w:pPr>
              <w:adjustRightInd w:val="0"/>
              <w:snapToGrid w:val="0"/>
              <w:spacing w:line="320" w:lineRule="exact"/>
              <w:rPr>
                <w:rFonts w:ascii="Times New Roman" w:hAnsi="Times New Roman" w:eastAsia="宋体" w:cs="Times New Roman"/>
                <w:kern w:val="2"/>
                <w:sz w:val="21"/>
                <w:szCs w:val="21"/>
                <w:lang w:val="en-US" w:eastAsia="zh-CN" w:bidi="ar-SA"/>
              </w:rPr>
            </w:pPr>
            <w:r>
              <w:rPr>
                <w:rFonts w:hint="eastAsia"/>
                <w:szCs w:val="21"/>
              </w:rPr>
              <w:t>介绍人工智能的定义、发展史、应用以及对人类社会发展的影响等，通过智能机器人展示人工智能的应用。</w:t>
            </w:r>
          </w:p>
        </w:tc>
      </w:tr>
      <w:tr w14:paraId="1778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DDA59D8">
            <w:pPr>
              <w:adjustRightInd w:val="0"/>
              <w:snapToGrid w:val="0"/>
              <w:spacing w:line="320" w:lineRule="exact"/>
              <w:jc w:val="center"/>
              <w:rPr>
                <w:rFonts w:hint="default" w:eastAsia="宋体"/>
                <w:szCs w:val="21"/>
                <w:lang w:val="en-US" w:eastAsia="zh-CN"/>
              </w:rPr>
            </w:pPr>
            <w:r>
              <w:rPr>
                <w:rFonts w:hint="eastAsia"/>
                <w:szCs w:val="21"/>
                <w:lang w:val="en-US" w:eastAsia="zh-CN"/>
              </w:rPr>
              <w:t>20</w:t>
            </w:r>
          </w:p>
        </w:tc>
        <w:tc>
          <w:tcPr>
            <w:tcW w:w="847" w:type="dxa"/>
            <w:vAlign w:val="center"/>
          </w:tcPr>
          <w:p w14:paraId="70F1FCB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张建宇</w:t>
            </w:r>
          </w:p>
        </w:tc>
        <w:tc>
          <w:tcPr>
            <w:tcW w:w="1484" w:type="dxa"/>
            <w:vAlign w:val="center"/>
          </w:tcPr>
          <w:p w14:paraId="26674A63">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德伊门矿物博物馆</w:t>
            </w:r>
          </w:p>
        </w:tc>
        <w:tc>
          <w:tcPr>
            <w:tcW w:w="2198" w:type="dxa"/>
            <w:vAlign w:val="center"/>
          </w:tcPr>
          <w:p w14:paraId="26149D83">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馆长</w:t>
            </w:r>
          </w:p>
        </w:tc>
        <w:tc>
          <w:tcPr>
            <w:tcW w:w="1581" w:type="dxa"/>
            <w:vAlign w:val="center"/>
          </w:tcPr>
          <w:p w14:paraId="3C982F0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13813699899</w:t>
            </w:r>
          </w:p>
        </w:tc>
        <w:tc>
          <w:tcPr>
            <w:tcW w:w="2240" w:type="dxa"/>
            <w:vAlign w:val="center"/>
          </w:tcPr>
          <w:p w14:paraId="18BBEDA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元素的由来</w:t>
            </w:r>
          </w:p>
        </w:tc>
        <w:tc>
          <w:tcPr>
            <w:tcW w:w="5543" w:type="dxa"/>
            <w:vAlign w:val="center"/>
          </w:tcPr>
          <w:p w14:paraId="7E5E81D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认识世界,从元素开始</w:t>
            </w:r>
          </w:p>
        </w:tc>
      </w:tr>
      <w:tr w14:paraId="76E1D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516EE666">
            <w:pPr>
              <w:adjustRightInd w:val="0"/>
              <w:snapToGrid w:val="0"/>
              <w:spacing w:line="320" w:lineRule="exact"/>
              <w:jc w:val="center"/>
              <w:rPr>
                <w:rFonts w:hint="default" w:eastAsia="宋体"/>
                <w:szCs w:val="21"/>
                <w:lang w:val="en-US" w:eastAsia="zh-CN"/>
              </w:rPr>
            </w:pPr>
            <w:r>
              <w:rPr>
                <w:rFonts w:hint="eastAsia"/>
                <w:szCs w:val="21"/>
                <w:lang w:val="en-US" w:eastAsia="zh-CN"/>
              </w:rPr>
              <w:t>21</w:t>
            </w:r>
          </w:p>
        </w:tc>
        <w:tc>
          <w:tcPr>
            <w:tcW w:w="847" w:type="dxa"/>
            <w:vAlign w:val="center"/>
          </w:tcPr>
          <w:p w14:paraId="5FB34B64">
            <w:pPr>
              <w:adjustRightInd w:val="0"/>
              <w:snapToGrid w:val="0"/>
              <w:spacing w:line="320" w:lineRule="exact"/>
              <w:jc w:val="center"/>
              <w:rPr>
                <w:rFonts w:hint="eastAsia"/>
                <w:szCs w:val="21"/>
                <w:lang w:val="en-US" w:eastAsia="zh-CN"/>
              </w:rPr>
            </w:pPr>
            <w:r>
              <w:rPr>
                <w:rFonts w:hint="eastAsia"/>
                <w:szCs w:val="21"/>
                <w:lang w:val="en-US" w:eastAsia="zh-CN"/>
              </w:rPr>
              <w:t>单涛</w:t>
            </w:r>
          </w:p>
          <w:p w14:paraId="53856B5B">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（联系人）</w:t>
            </w:r>
          </w:p>
        </w:tc>
        <w:tc>
          <w:tcPr>
            <w:tcW w:w="1484" w:type="dxa"/>
            <w:vAlign w:val="center"/>
          </w:tcPr>
          <w:p w14:paraId="03682FC2">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常州市体育医疗科研所门诊部</w:t>
            </w:r>
          </w:p>
        </w:tc>
        <w:tc>
          <w:tcPr>
            <w:tcW w:w="2198" w:type="dxa"/>
            <w:vAlign w:val="center"/>
          </w:tcPr>
          <w:p w14:paraId="552F228C">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医师/主治医师/研究生</w:t>
            </w:r>
          </w:p>
        </w:tc>
        <w:tc>
          <w:tcPr>
            <w:tcW w:w="1581" w:type="dxa"/>
            <w:vAlign w:val="center"/>
          </w:tcPr>
          <w:p w14:paraId="5DE46ED8">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17798926068</w:t>
            </w:r>
          </w:p>
        </w:tc>
        <w:tc>
          <w:tcPr>
            <w:tcW w:w="2240" w:type="dxa"/>
            <w:vAlign w:val="center"/>
          </w:tcPr>
          <w:p w14:paraId="49600DB7">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青少年脊柱健康科普</w:t>
            </w:r>
          </w:p>
        </w:tc>
        <w:tc>
          <w:tcPr>
            <w:tcW w:w="5543" w:type="dxa"/>
            <w:vAlign w:val="center"/>
          </w:tcPr>
          <w:p w14:paraId="2A011B04">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脊柱侧弯已成为继肥胖、近视之后危害我国青少年儿童健康的第三大疾病。脊柱侧弯不仅会造成脊柱外观畸形，让孩子产生自卑心理，还会影响孩子的活动能力，甚至对心肺等其他脏器和神经造成压迫和损伤，影响孩子的一生。通过脊柱健康科普可有效提高孩子及家长们对脊柱侧弯的认识，进一步加强了同学们爱护脊柱的意识，也为孩子们的健康成长保驾护航。</w:t>
            </w:r>
          </w:p>
        </w:tc>
      </w:tr>
      <w:tr w14:paraId="71EFC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52F972D">
            <w:pPr>
              <w:adjustRightInd w:val="0"/>
              <w:snapToGrid w:val="0"/>
              <w:spacing w:line="320" w:lineRule="exact"/>
              <w:jc w:val="center"/>
              <w:rPr>
                <w:rFonts w:hint="default" w:eastAsia="宋体"/>
                <w:szCs w:val="21"/>
                <w:lang w:val="en-US" w:eastAsia="zh-CN"/>
              </w:rPr>
            </w:pPr>
            <w:r>
              <w:rPr>
                <w:rFonts w:hint="eastAsia"/>
                <w:szCs w:val="21"/>
                <w:lang w:val="en-US" w:eastAsia="zh-CN"/>
              </w:rPr>
              <w:t>22</w:t>
            </w:r>
          </w:p>
        </w:tc>
        <w:tc>
          <w:tcPr>
            <w:tcW w:w="847" w:type="dxa"/>
            <w:vAlign w:val="center"/>
          </w:tcPr>
          <w:p w14:paraId="1E00D47F">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朱琳</w:t>
            </w:r>
          </w:p>
        </w:tc>
        <w:tc>
          <w:tcPr>
            <w:tcW w:w="1484" w:type="dxa"/>
            <w:vAlign w:val="center"/>
          </w:tcPr>
          <w:p w14:paraId="5B00F91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常州市第四人民医院</w:t>
            </w:r>
          </w:p>
        </w:tc>
        <w:tc>
          <w:tcPr>
            <w:tcW w:w="2198" w:type="dxa"/>
            <w:vAlign w:val="center"/>
          </w:tcPr>
          <w:p w14:paraId="42BD53A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主治医师/硕士研究生</w:t>
            </w:r>
          </w:p>
        </w:tc>
        <w:tc>
          <w:tcPr>
            <w:tcW w:w="1581" w:type="dxa"/>
            <w:vAlign w:val="center"/>
          </w:tcPr>
          <w:p w14:paraId="0D355B97">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15961233078</w:t>
            </w:r>
          </w:p>
        </w:tc>
        <w:tc>
          <w:tcPr>
            <w:tcW w:w="2240" w:type="dxa"/>
            <w:vAlign w:val="center"/>
          </w:tcPr>
          <w:p w14:paraId="51AF5B0D">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知“食”就是力量</w:t>
            </w:r>
          </w:p>
        </w:tc>
        <w:tc>
          <w:tcPr>
            <w:tcW w:w="5543" w:type="dxa"/>
            <w:vAlign w:val="center"/>
          </w:tcPr>
          <w:p w14:paraId="1A940ACE">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以平衡膳食宝塔和膳食指南为营养基础，</w:t>
            </w:r>
            <w:r>
              <w:rPr>
                <w:rFonts w:hint="eastAsia" w:ascii="Times New Roman" w:hAnsi="Times New Roman" w:eastAsia="宋体" w:cs="Times New Roman"/>
                <w:szCs w:val="21"/>
                <w:lang w:val="en-US" w:eastAsia="zh-CN"/>
              </w:rPr>
              <w:t>基于“每天吃五种蔬菜”、“合理选择零食”、 “少吃高脂高盐高糖的加工食品”、“足量饮水，不喝</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少喝含糖饮料”、“一起动起来”、“充足睡眠”等信息点，</w:t>
            </w:r>
            <w:r>
              <w:rPr>
                <w:rFonts w:hint="eastAsia"/>
                <w:szCs w:val="21"/>
                <w:lang w:val="en-US" w:eastAsia="zh-CN"/>
              </w:rPr>
              <w:t>结合学校，老师及学生群体的需求进行科普内容</w:t>
            </w:r>
            <w:r>
              <w:rPr>
                <w:rFonts w:hint="eastAsia" w:ascii="Times New Roman" w:hAnsi="Times New Roman" w:eastAsia="宋体" w:cs="Times New Roman"/>
                <w:szCs w:val="21"/>
                <w:lang w:val="en-US" w:eastAsia="zh-CN"/>
              </w:rPr>
              <w:t>，寓教于乐，让孩子潜移默化接受知识。</w:t>
            </w:r>
          </w:p>
        </w:tc>
      </w:tr>
      <w:tr w14:paraId="2E727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7AD4AEF">
            <w:pPr>
              <w:adjustRightInd w:val="0"/>
              <w:snapToGrid w:val="0"/>
              <w:spacing w:line="320" w:lineRule="exact"/>
              <w:jc w:val="center"/>
              <w:rPr>
                <w:rFonts w:hint="default" w:eastAsia="宋体"/>
                <w:szCs w:val="21"/>
                <w:lang w:val="en-US" w:eastAsia="zh-CN"/>
              </w:rPr>
            </w:pPr>
            <w:r>
              <w:rPr>
                <w:rFonts w:hint="eastAsia"/>
                <w:szCs w:val="21"/>
                <w:lang w:val="en-US" w:eastAsia="zh-CN"/>
              </w:rPr>
              <w:t>23</w:t>
            </w:r>
          </w:p>
        </w:tc>
        <w:tc>
          <w:tcPr>
            <w:tcW w:w="847" w:type="dxa"/>
            <w:vAlign w:val="center"/>
          </w:tcPr>
          <w:p w14:paraId="411C392B">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谢燕</w:t>
            </w:r>
          </w:p>
        </w:tc>
        <w:tc>
          <w:tcPr>
            <w:tcW w:w="1484" w:type="dxa"/>
            <w:vAlign w:val="center"/>
          </w:tcPr>
          <w:p w14:paraId="4BB734A5">
            <w:pPr>
              <w:widowControl/>
              <w:jc w:val="left"/>
            </w:pPr>
            <w:r>
              <w:rPr>
                <w:rFonts w:hint="eastAsia" w:ascii="宋体" w:hAnsi="宋体" w:cs="宋体"/>
                <w:color w:val="000000"/>
                <w:kern w:val="0"/>
                <w:sz w:val="20"/>
                <w:szCs w:val="20"/>
                <w:lang w:bidi="ar"/>
              </w:rPr>
              <w:t xml:space="preserve">常州卫生高等 </w:t>
            </w:r>
          </w:p>
          <w:p w14:paraId="220AB2DE">
            <w:pPr>
              <w:widowControl/>
              <w:jc w:val="left"/>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 w:val="20"/>
                <w:szCs w:val="20"/>
                <w:lang w:bidi="ar"/>
              </w:rPr>
              <w:t>职业技术学校</w:t>
            </w:r>
          </w:p>
        </w:tc>
        <w:tc>
          <w:tcPr>
            <w:tcW w:w="2198" w:type="dxa"/>
            <w:vAlign w:val="center"/>
          </w:tcPr>
          <w:p w14:paraId="69F2D51E">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教研处处长/教授/硕士</w:t>
            </w:r>
          </w:p>
        </w:tc>
        <w:tc>
          <w:tcPr>
            <w:tcW w:w="1581" w:type="dxa"/>
            <w:vAlign w:val="center"/>
          </w:tcPr>
          <w:p w14:paraId="49C5300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13585323472</w:t>
            </w:r>
          </w:p>
        </w:tc>
        <w:tc>
          <w:tcPr>
            <w:tcW w:w="2240" w:type="dxa"/>
            <w:vAlign w:val="center"/>
          </w:tcPr>
          <w:p w14:paraId="128CC9F3">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睡眠的真相</w:t>
            </w:r>
          </w:p>
        </w:tc>
        <w:tc>
          <w:tcPr>
            <w:tcW w:w="5543" w:type="dxa"/>
            <w:vAlign w:val="center"/>
          </w:tcPr>
          <w:p w14:paraId="73A0527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良好的睡眠质量不仅有助于恢复精力，还能提高认知功能和心理健康。本讲座从中国睡眠研究报告出发，介绍睡眠的评估方法，睡眠的类型、周期，睡眠与基因、脑肠轴和日光的关系，睡眠不足的危害，如何养成睡眠卫生的方法。</w:t>
            </w:r>
          </w:p>
        </w:tc>
      </w:tr>
      <w:tr w14:paraId="20950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431F298A">
            <w:pPr>
              <w:adjustRightInd w:val="0"/>
              <w:snapToGrid w:val="0"/>
              <w:spacing w:line="320" w:lineRule="exact"/>
              <w:jc w:val="center"/>
              <w:rPr>
                <w:rFonts w:hint="default" w:eastAsia="宋体"/>
                <w:szCs w:val="21"/>
                <w:lang w:val="en-US" w:eastAsia="zh-CN"/>
              </w:rPr>
            </w:pPr>
            <w:r>
              <w:rPr>
                <w:rFonts w:hint="eastAsia"/>
                <w:szCs w:val="21"/>
                <w:lang w:val="en-US" w:eastAsia="zh-CN"/>
              </w:rPr>
              <w:t>24</w:t>
            </w:r>
          </w:p>
          <w:p w14:paraId="5A0B58A8">
            <w:pPr>
              <w:adjustRightInd w:val="0"/>
              <w:snapToGrid w:val="0"/>
              <w:spacing w:line="320" w:lineRule="exact"/>
              <w:jc w:val="center"/>
              <w:rPr>
                <w:szCs w:val="21"/>
              </w:rPr>
            </w:pPr>
          </w:p>
        </w:tc>
        <w:tc>
          <w:tcPr>
            <w:tcW w:w="847" w:type="dxa"/>
            <w:vAlign w:val="center"/>
          </w:tcPr>
          <w:p w14:paraId="0EC06221">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李国宝</w:t>
            </w:r>
          </w:p>
        </w:tc>
        <w:tc>
          <w:tcPr>
            <w:tcW w:w="1484" w:type="dxa"/>
            <w:vAlign w:val="center"/>
          </w:tcPr>
          <w:p w14:paraId="6CE02B27">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1929119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w:t>
            </w:r>
          </w:p>
        </w:tc>
        <w:tc>
          <w:tcPr>
            <w:tcW w:w="1581" w:type="dxa"/>
            <w:vAlign w:val="center"/>
          </w:tcPr>
          <w:p w14:paraId="7D5E501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w:t>
            </w:r>
            <w:r>
              <w:rPr>
                <w:szCs w:val="21"/>
              </w:rPr>
              <w:t>3961126678</w:t>
            </w:r>
          </w:p>
        </w:tc>
        <w:tc>
          <w:tcPr>
            <w:tcW w:w="2240" w:type="dxa"/>
            <w:vAlign w:val="center"/>
          </w:tcPr>
          <w:p w14:paraId="08258297">
            <w:pPr>
              <w:rPr>
                <w:rFonts w:hint="eastAsia" w:ascii="Times New Roman" w:hAnsi="Times New Roman" w:eastAsia="宋体" w:cs="Times New Roman"/>
                <w:kern w:val="2"/>
                <w:sz w:val="21"/>
                <w:szCs w:val="21"/>
                <w:lang w:val="en-US" w:eastAsia="zh-CN" w:bidi="ar-SA"/>
              </w:rPr>
            </w:pPr>
            <w:r>
              <w:rPr>
                <w:rFonts w:hint="eastAsia"/>
                <w:szCs w:val="21"/>
              </w:rPr>
              <w:t>新时代新法典</w:t>
            </w:r>
            <w:r>
              <w:rPr>
                <w:szCs w:val="21"/>
              </w:rPr>
              <w:t>—</w:t>
            </w:r>
            <w:r>
              <w:rPr>
                <w:rFonts w:hint="eastAsia"/>
                <w:szCs w:val="21"/>
              </w:rPr>
              <w:t>“美好生活·民法典相伴”</w:t>
            </w:r>
          </w:p>
        </w:tc>
        <w:tc>
          <w:tcPr>
            <w:tcW w:w="5543" w:type="dxa"/>
            <w:vAlign w:val="center"/>
          </w:tcPr>
          <w:p w14:paraId="0DF80486">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一个人从生老病死到衣食住行，从婚姻家庭到日常生活，民法典与每个人息息相关。我们在生活、学习和工作中遇到很多都可以在民法典中找到答案，作为社会生活的百科全书。新时代的民法典主要亮点内容。</w:t>
            </w:r>
          </w:p>
        </w:tc>
      </w:tr>
      <w:tr w14:paraId="2E637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5922BA36">
            <w:pPr>
              <w:adjustRightInd w:val="0"/>
              <w:snapToGrid w:val="0"/>
              <w:spacing w:line="320" w:lineRule="exact"/>
              <w:jc w:val="center"/>
              <w:rPr>
                <w:rFonts w:hint="default" w:eastAsia="宋体"/>
                <w:szCs w:val="21"/>
                <w:lang w:val="en-US" w:eastAsia="zh-CN"/>
              </w:rPr>
            </w:pPr>
            <w:r>
              <w:rPr>
                <w:rFonts w:hint="eastAsia"/>
                <w:szCs w:val="21"/>
                <w:lang w:val="en-US" w:eastAsia="zh-CN"/>
              </w:rPr>
              <w:t>25</w:t>
            </w:r>
          </w:p>
        </w:tc>
        <w:tc>
          <w:tcPr>
            <w:tcW w:w="847" w:type="dxa"/>
            <w:vAlign w:val="center"/>
          </w:tcPr>
          <w:p w14:paraId="6E7C701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成鹏</w:t>
            </w:r>
          </w:p>
        </w:tc>
        <w:tc>
          <w:tcPr>
            <w:tcW w:w="1484" w:type="dxa"/>
            <w:vAlign w:val="center"/>
          </w:tcPr>
          <w:p w14:paraId="1B71F1B7">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039625CD">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教研室主任</w:t>
            </w:r>
            <w:r>
              <w:rPr>
                <w:szCs w:val="21"/>
              </w:rPr>
              <w:t>/</w:t>
            </w:r>
            <w:r>
              <w:rPr>
                <w:rFonts w:hint="eastAsia"/>
                <w:szCs w:val="21"/>
              </w:rPr>
              <w:t>副教授</w:t>
            </w:r>
            <w:r>
              <w:rPr>
                <w:szCs w:val="21"/>
              </w:rPr>
              <w:t>/</w:t>
            </w:r>
            <w:r>
              <w:rPr>
                <w:rFonts w:hint="eastAsia"/>
                <w:szCs w:val="21"/>
              </w:rPr>
              <w:t>硕士研究生</w:t>
            </w:r>
          </w:p>
        </w:tc>
        <w:tc>
          <w:tcPr>
            <w:tcW w:w="1581" w:type="dxa"/>
            <w:vAlign w:val="center"/>
          </w:tcPr>
          <w:p w14:paraId="1CD90D62">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szCs w:val="21"/>
              </w:rPr>
              <w:t>18796969682</w:t>
            </w:r>
          </w:p>
        </w:tc>
        <w:tc>
          <w:tcPr>
            <w:tcW w:w="2240" w:type="dxa"/>
            <w:vAlign w:val="center"/>
          </w:tcPr>
          <w:p w14:paraId="5BFCF79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rPr>
              <w:t>沟通让生活更美好</w:t>
            </w:r>
          </w:p>
        </w:tc>
        <w:tc>
          <w:tcPr>
            <w:tcW w:w="5543" w:type="dxa"/>
            <w:vAlign w:val="center"/>
          </w:tcPr>
          <w:p w14:paraId="52FE51E5">
            <w:pPr>
              <w:adjustRightInd w:val="0"/>
              <w:snapToGrid w:val="0"/>
              <w:spacing w:line="320" w:lineRule="exact"/>
              <w:rPr>
                <w:rFonts w:hint="eastAsia" w:ascii="Times New Roman" w:hAnsi="Times New Roman" w:eastAsia="宋体" w:cs="Times New Roman"/>
                <w:kern w:val="2"/>
                <w:sz w:val="21"/>
                <w:szCs w:val="21"/>
                <w:lang w:val="en-US" w:eastAsia="zh-CN" w:bidi="ar-SA"/>
              </w:rPr>
            </w:pPr>
            <w:r>
              <w:t>1.</w:t>
            </w:r>
            <w:r>
              <w:rPr>
                <w:rFonts w:hint="eastAsia"/>
              </w:rPr>
              <w:t>沟通的定义以及沟通的心理效应；</w:t>
            </w:r>
            <w:r>
              <w:t>2.</w:t>
            </w:r>
            <w:r>
              <w:rPr>
                <w:rFonts w:hint="eastAsia"/>
              </w:rPr>
              <w:t>如何因人沟通；</w:t>
            </w:r>
            <w:r>
              <w:t>3.</w:t>
            </w:r>
            <w:r>
              <w:rPr>
                <w:rFonts w:hint="eastAsia"/>
              </w:rPr>
              <w:t>沟通技能提升；</w:t>
            </w:r>
            <w:r>
              <w:t>4.</w:t>
            </w:r>
            <w:r>
              <w:rPr>
                <w:rFonts w:hint="eastAsia"/>
              </w:rPr>
              <w:t>职场沟通与环境识人。</w:t>
            </w:r>
          </w:p>
        </w:tc>
      </w:tr>
      <w:tr w14:paraId="4A886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2939AFFA">
            <w:pPr>
              <w:adjustRightInd w:val="0"/>
              <w:snapToGrid w:val="0"/>
              <w:spacing w:line="320" w:lineRule="exact"/>
              <w:jc w:val="center"/>
              <w:rPr>
                <w:rFonts w:hint="default" w:eastAsia="宋体"/>
                <w:szCs w:val="21"/>
                <w:lang w:val="en-US" w:eastAsia="zh-CN"/>
              </w:rPr>
            </w:pPr>
            <w:r>
              <w:rPr>
                <w:rFonts w:hint="eastAsia"/>
                <w:szCs w:val="21"/>
                <w:lang w:val="en-US" w:eastAsia="zh-CN"/>
              </w:rPr>
              <w:t>26</w:t>
            </w:r>
          </w:p>
        </w:tc>
        <w:tc>
          <w:tcPr>
            <w:tcW w:w="847" w:type="dxa"/>
            <w:vAlign w:val="center"/>
          </w:tcPr>
          <w:p w14:paraId="0FDBB6E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沈晓燕</w:t>
            </w:r>
          </w:p>
        </w:tc>
        <w:tc>
          <w:tcPr>
            <w:tcW w:w="1484" w:type="dxa"/>
            <w:vAlign w:val="center"/>
          </w:tcPr>
          <w:p w14:paraId="35CA213D">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77D095D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讲师/硕士研究生</w:t>
            </w:r>
          </w:p>
        </w:tc>
        <w:tc>
          <w:tcPr>
            <w:tcW w:w="1581" w:type="dxa"/>
            <w:vAlign w:val="center"/>
          </w:tcPr>
          <w:p w14:paraId="307172DC">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15298375535</w:t>
            </w:r>
          </w:p>
        </w:tc>
        <w:tc>
          <w:tcPr>
            <w:tcW w:w="2240" w:type="dxa"/>
            <w:vAlign w:val="center"/>
          </w:tcPr>
          <w:p w14:paraId="6C911F92">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千年战争——传染病与人类历史</w:t>
            </w:r>
          </w:p>
        </w:tc>
        <w:tc>
          <w:tcPr>
            <w:tcW w:w="5543" w:type="dxa"/>
            <w:vAlign w:val="center"/>
          </w:tcPr>
          <w:p w14:paraId="6749D6A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讲座主要讲述了霍乱、疟疾、艾滋病等多种传染病的发病特点，及传染病流行对世界宗教文化、医学发展、人类基因的影响，从而揭示人类与传染病的辩证关系。</w:t>
            </w:r>
          </w:p>
        </w:tc>
      </w:tr>
      <w:tr w14:paraId="054B6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B7ACEAA">
            <w:pPr>
              <w:adjustRightInd w:val="0"/>
              <w:snapToGrid w:val="0"/>
              <w:spacing w:line="320" w:lineRule="exact"/>
              <w:jc w:val="center"/>
              <w:rPr>
                <w:rFonts w:hint="default" w:eastAsia="宋体"/>
                <w:szCs w:val="21"/>
                <w:lang w:val="en-US" w:eastAsia="zh-CN"/>
              </w:rPr>
            </w:pPr>
            <w:r>
              <w:rPr>
                <w:rFonts w:hint="eastAsia"/>
                <w:szCs w:val="21"/>
                <w:lang w:val="en-US" w:eastAsia="zh-CN"/>
              </w:rPr>
              <w:t>27</w:t>
            </w:r>
          </w:p>
        </w:tc>
        <w:tc>
          <w:tcPr>
            <w:tcW w:w="847" w:type="dxa"/>
            <w:vAlign w:val="center"/>
          </w:tcPr>
          <w:p w14:paraId="0196A6D8">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张栋栋</w:t>
            </w:r>
          </w:p>
        </w:tc>
        <w:tc>
          <w:tcPr>
            <w:tcW w:w="1484" w:type="dxa"/>
            <w:vAlign w:val="center"/>
          </w:tcPr>
          <w:p w14:paraId="0E3A6A7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19B32A5D">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副教授/硕士研究生</w:t>
            </w:r>
          </w:p>
        </w:tc>
        <w:tc>
          <w:tcPr>
            <w:tcW w:w="1581" w:type="dxa"/>
            <w:vAlign w:val="center"/>
          </w:tcPr>
          <w:p w14:paraId="1B10DF8E">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15295161608</w:t>
            </w:r>
          </w:p>
        </w:tc>
        <w:tc>
          <w:tcPr>
            <w:tcW w:w="2240" w:type="dxa"/>
            <w:vAlign w:val="center"/>
          </w:tcPr>
          <w:p w14:paraId="44956162">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“毒”“艾”交集，生路难寻——新型合成毒品与艾滋病的传播</w:t>
            </w:r>
          </w:p>
        </w:tc>
        <w:tc>
          <w:tcPr>
            <w:tcW w:w="5543" w:type="dxa"/>
            <w:vAlign w:val="center"/>
          </w:tcPr>
          <w:p w14:paraId="5CD5901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近年来，我国艾滋病感染呈现出“两头翘”的趋势，即青年人和老年人发病率升高，尤其是15到24岁年龄段的青年，已属于艾滋病高发人群且发病率呈现逐年上升的趋势，虽然我国目前艾滋病防控“经输血传播基本阻断、母婴传播和注射吸毒传播降至历史最低水平”，但新型合成毒品的多样性和高隐蔽性依然对青年学生健康存在着巨大的威胁。讲座通过对新型合成毒品的曝光，向学生指出其危害性，通过讲述毒品与艾滋病传播之间的关系，使得学生绷紧防毒之弦，树立健康的生活方式。</w:t>
            </w:r>
          </w:p>
        </w:tc>
      </w:tr>
      <w:tr w14:paraId="11132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4D1A053D">
            <w:pPr>
              <w:adjustRightInd w:val="0"/>
              <w:snapToGrid w:val="0"/>
              <w:spacing w:line="320" w:lineRule="exact"/>
              <w:jc w:val="center"/>
              <w:rPr>
                <w:rFonts w:hint="default" w:eastAsia="宋体"/>
                <w:szCs w:val="21"/>
                <w:lang w:val="en-US" w:eastAsia="zh-CN"/>
              </w:rPr>
            </w:pPr>
            <w:r>
              <w:rPr>
                <w:rFonts w:hint="eastAsia"/>
                <w:szCs w:val="21"/>
                <w:lang w:val="en-US" w:eastAsia="zh-CN"/>
              </w:rPr>
              <w:t>28</w:t>
            </w:r>
          </w:p>
        </w:tc>
        <w:tc>
          <w:tcPr>
            <w:tcW w:w="847" w:type="dxa"/>
            <w:vAlign w:val="center"/>
          </w:tcPr>
          <w:p w14:paraId="58A07D49">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申海进</w:t>
            </w:r>
          </w:p>
        </w:tc>
        <w:tc>
          <w:tcPr>
            <w:tcW w:w="1484" w:type="dxa"/>
            <w:vAlign w:val="center"/>
          </w:tcPr>
          <w:p w14:paraId="3E4C9CA4">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04DFE32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继教处/副处长/副教授/研究生</w:t>
            </w:r>
          </w:p>
        </w:tc>
        <w:tc>
          <w:tcPr>
            <w:tcW w:w="1581" w:type="dxa"/>
            <w:vAlign w:val="center"/>
          </w:tcPr>
          <w:p w14:paraId="0B02B834">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13776860509</w:t>
            </w:r>
          </w:p>
        </w:tc>
        <w:tc>
          <w:tcPr>
            <w:tcW w:w="2240" w:type="dxa"/>
            <w:vAlign w:val="center"/>
          </w:tcPr>
          <w:p w14:paraId="19FB141D">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老常州中医药简史</w:t>
            </w:r>
          </w:p>
        </w:tc>
        <w:tc>
          <w:tcPr>
            <w:tcW w:w="5543" w:type="dxa"/>
            <w:vAlign w:val="center"/>
          </w:tcPr>
          <w:p w14:paraId="76F0FA5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介绍老常州重要医学流派及代表性中医世家</w:t>
            </w:r>
          </w:p>
        </w:tc>
      </w:tr>
      <w:tr w14:paraId="720B1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32E4F093">
            <w:pPr>
              <w:adjustRightInd w:val="0"/>
              <w:snapToGrid w:val="0"/>
              <w:spacing w:line="320" w:lineRule="exact"/>
              <w:jc w:val="center"/>
              <w:rPr>
                <w:rFonts w:hint="default" w:eastAsia="宋体"/>
                <w:szCs w:val="21"/>
                <w:lang w:val="en-US" w:eastAsia="zh-CN"/>
              </w:rPr>
            </w:pPr>
            <w:r>
              <w:rPr>
                <w:rFonts w:hint="eastAsia"/>
                <w:szCs w:val="21"/>
                <w:lang w:val="en-US" w:eastAsia="zh-CN"/>
              </w:rPr>
              <w:t>29</w:t>
            </w:r>
          </w:p>
        </w:tc>
        <w:tc>
          <w:tcPr>
            <w:tcW w:w="847" w:type="dxa"/>
            <w:vAlign w:val="center"/>
          </w:tcPr>
          <w:p w14:paraId="3C715931">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张凌</w:t>
            </w:r>
          </w:p>
        </w:tc>
        <w:tc>
          <w:tcPr>
            <w:tcW w:w="1484" w:type="dxa"/>
            <w:vAlign w:val="center"/>
          </w:tcPr>
          <w:p w14:paraId="7543877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00A877E1">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党办主任、工会主席/副教授、硕士研究生</w:t>
            </w:r>
          </w:p>
        </w:tc>
        <w:tc>
          <w:tcPr>
            <w:tcW w:w="1581" w:type="dxa"/>
            <w:vAlign w:val="center"/>
          </w:tcPr>
          <w:p w14:paraId="6FDC26C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13915080093</w:t>
            </w:r>
          </w:p>
        </w:tc>
        <w:tc>
          <w:tcPr>
            <w:tcW w:w="2240" w:type="dxa"/>
            <w:vAlign w:val="center"/>
          </w:tcPr>
          <w:p w14:paraId="19E575EA">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解密稀有血型</w:t>
            </w:r>
          </w:p>
        </w:tc>
        <w:tc>
          <w:tcPr>
            <w:tcW w:w="5543" w:type="dxa"/>
            <w:vAlign w:val="center"/>
          </w:tcPr>
          <w:p w14:paraId="31141375">
            <w:pPr>
              <w:widowControl/>
              <w:jc w:val="left"/>
              <w:rPr>
                <w:rFonts w:hint="eastAsia" w:ascii="Times New Roman" w:hAnsi="Times New Roman" w:eastAsia="宋体" w:cs="Times New Roman"/>
                <w:kern w:val="2"/>
                <w:sz w:val="21"/>
                <w:szCs w:val="21"/>
                <w:lang w:val="en-US" w:eastAsia="zh-CN" w:bidi="ar-SA"/>
              </w:rPr>
            </w:pPr>
            <w:r>
              <w:rPr>
                <w:rFonts w:hint="eastAsia"/>
                <w:szCs w:val="21"/>
              </w:rPr>
              <w:t>介绍稀有血型Rh血型的发现历程、分型依据、抗体特点以及临床意义；通过稀有血型库的建设和无偿献血者们的事迹，引导学生树立正确的献血观念，建立无偿献血意识。</w:t>
            </w:r>
          </w:p>
        </w:tc>
      </w:tr>
      <w:tr w14:paraId="27280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3BF6D934">
            <w:pPr>
              <w:adjustRightInd w:val="0"/>
              <w:snapToGrid w:val="0"/>
              <w:spacing w:line="320" w:lineRule="exact"/>
              <w:jc w:val="center"/>
              <w:rPr>
                <w:rFonts w:hint="default" w:eastAsia="宋体"/>
                <w:szCs w:val="21"/>
                <w:lang w:val="en-US" w:eastAsia="zh-CN"/>
              </w:rPr>
            </w:pPr>
            <w:r>
              <w:rPr>
                <w:rFonts w:hint="eastAsia"/>
                <w:szCs w:val="21"/>
                <w:lang w:val="en-US" w:eastAsia="zh-CN"/>
              </w:rPr>
              <w:t>30</w:t>
            </w:r>
          </w:p>
        </w:tc>
        <w:tc>
          <w:tcPr>
            <w:tcW w:w="847" w:type="dxa"/>
            <w:vAlign w:val="center"/>
          </w:tcPr>
          <w:p w14:paraId="6F53D24F">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陆秀花</w:t>
            </w:r>
          </w:p>
        </w:tc>
        <w:tc>
          <w:tcPr>
            <w:tcW w:w="1484" w:type="dxa"/>
            <w:vAlign w:val="center"/>
          </w:tcPr>
          <w:p w14:paraId="0ECF601E">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常州卫生高等职业技术学校</w:t>
            </w:r>
          </w:p>
        </w:tc>
        <w:tc>
          <w:tcPr>
            <w:tcW w:w="2198" w:type="dxa"/>
            <w:vAlign w:val="center"/>
          </w:tcPr>
          <w:p w14:paraId="08BA0A3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副教授</w:t>
            </w:r>
            <w:r>
              <w:rPr>
                <w:szCs w:val="21"/>
              </w:rPr>
              <w:t>/</w:t>
            </w:r>
            <w:r>
              <w:rPr>
                <w:rFonts w:hint="eastAsia"/>
                <w:szCs w:val="21"/>
              </w:rPr>
              <w:t>本科</w:t>
            </w:r>
            <w:r>
              <w:rPr>
                <w:szCs w:val="21"/>
              </w:rPr>
              <w:t>/</w:t>
            </w:r>
            <w:r>
              <w:rPr>
                <w:rFonts w:hint="eastAsia"/>
                <w:szCs w:val="21"/>
              </w:rPr>
              <w:t>硕士</w:t>
            </w:r>
          </w:p>
        </w:tc>
        <w:tc>
          <w:tcPr>
            <w:tcW w:w="1581" w:type="dxa"/>
            <w:vAlign w:val="center"/>
          </w:tcPr>
          <w:p w14:paraId="11E26783">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szCs w:val="21"/>
              </w:rPr>
              <w:t>15351956030</w:t>
            </w:r>
          </w:p>
        </w:tc>
        <w:tc>
          <w:tcPr>
            <w:tcW w:w="2240" w:type="dxa"/>
            <w:vAlign w:val="center"/>
          </w:tcPr>
          <w:p w14:paraId="11CBB2F2">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用写作遇见自己</w:t>
            </w:r>
          </w:p>
        </w:tc>
        <w:tc>
          <w:tcPr>
            <w:tcW w:w="5543" w:type="dxa"/>
            <w:vAlign w:val="center"/>
          </w:tcPr>
          <w:p w14:paraId="3CF85358">
            <w:pPr>
              <w:adjustRightInd w:val="0"/>
              <w:snapToGrid w:val="0"/>
              <w:spacing w:line="320" w:lineRule="exact"/>
              <w:rPr>
                <w:szCs w:val="21"/>
              </w:rPr>
            </w:pPr>
            <w:r>
              <w:rPr>
                <w:rFonts w:hint="eastAsia"/>
                <w:szCs w:val="21"/>
              </w:rPr>
              <w:t>用写作遇见自己</w:t>
            </w:r>
          </w:p>
          <w:p w14:paraId="5B0B7D91">
            <w:pPr>
              <w:adjustRightInd w:val="0"/>
              <w:snapToGrid w:val="0"/>
              <w:spacing w:line="320" w:lineRule="exact"/>
              <w:rPr>
                <w:szCs w:val="21"/>
              </w:rPr>
            </w:pPr>
            <w:r>
              <w:rPr>
                <w:rFonts w:hint="eastAsia"/>
                <w:szCs w:val="21"/>
              </w:rPr>
              <w:t>基于艾瑞克森的人的发展八阶段理论，我们的学生正处于青少年期或成人早期，这一阶段发展的主要任务是自我同一。用写作练习更好地遇见自己，从而更好地完成这一阶段的发展任务。</w:t>
            </w:r>
          </w:p>
          <w:p w14:paraId="2F584F52">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同时基于社会环境，</w:t>
            </w:r>
            <w:r>
              <w:rPr>
                <w:szCs w:val="21"/>
              </w:rPr>
              <w:t>2019</w:t>
            </w:r>
            <w:r>
              <w:rPr>
                <w:rFonts w:hint="eastAsia"/>
                <w:szCs w:val="21"/>
              </w:rPr>
              <w:t>健康行动计划和心理防卫机制的写作升华，都有助于我们的学生乃至全人的身心健康促进。本人想致力于这项健康行动工作。</w:t>
            </w:r>
          </w:p>
        </w:tc>
      </w:tr>
      <w:tr w14:paraId="4E8B7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62F7DAF9">
            <w:pPr>
              <w:adjustRightInd w:val="0"/>
              <w:snapToGrid w:val="0"/>
              <w:spacing w:line="320" w:lineRule="exact"/>
              <w:jc w:val="center"/>
              <w:rPr>
                <w:rFonts w:hint="default" w:eastAsia="宋体"/>
                <w:szCs w:val="21"/>
                <w:lang w:val="en-US" w:eastAsia="zh-CN"/>
              </w:rPr>
            </w:pPr>
            <w:r>
              <w:rPr>
                <w:rFonts w:hint="eastAsia"/>
                <w:szCs w:val="21"/>
                <w:lang w:val="en-US" w:eastAsia="zh-CN"/>
              </w:rPr>
              <w:t>31</w:t>
            </w:r>
          </w:p>
        </w:tc>
        <w:tc>
          <w:tcPr>
            <w:tcW w:w="847" w:type="dxa"/>
            <w:vAlign w:val="center"/>
          </w:tcPr>
          <w:p w14:paraId="6561FB3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吴迪</w:t>
            </w:r>
          </w:p>
        </w:tc>
        <w:tc>
          <w:tcPr>
            <w:tcW w:w="1484" w:type="dxa"/>
            <w:vAlign w:val="center"/>
          </w:tcPr>
          <w:p w14:paraId="6B374CDF">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常州经济开发区新田家庭健康促进中心</w:t>
            </w:r>
          </w:p>
        </w:tc>
        <w:tc>
          <w:tcPr>
            <w:tcW w:w="2198" w:type="dxa"/>
            <w:vAlign w:val="center"/>
          </w:tcPr>
          <w:p w14:paraId="6BC041FD">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szCs w:val="21"/>
                <w:lang w:val="en-US" w:eastAsia="zh-CN"/>
              </w:rPr>
              <w:t>副高级/双硕士</w:t>
            </w:r>
          </w:p>
        </w:tc>
        <w:tc>
          <w:tcPr>
            <w:tcW w:w="1581" w:type="dxa"/>
            <w:vAlign w:val="center"/>
          </w:tcPr>
          <w:p w14:paraId="098E9BFA">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15261902326</w:t>
            </w:r>
          </w:p>
        </w:tc>
        <w:tc>
          <w:tcPr>
            <w:tcW w:w="2240" w:type="dxa"/>
            <w:vAlign w:val="center"/>
          </w:tcPr>
          <w:p w14:paraId="34E2EFEE">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val="en-US" w:eastAsia="zh-CN"/>
              </w:rPr>
              <w:t>《反对校园霸凌 加强心理建设》</w:t>
            </w:r>
          </w:p>
        </w:tc>
        <w:tc>
          <w:tcPr>
            <w:tcW w:w="5543" w:type="dxa"/>
            <w:vAlign w:val="center"/>
          </w:tcPr>
          <w:p w14:paraId="20E10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kern w:val="2"/>
                <w:sz w:val="21"/>
                <w:szCs w:val="21"/>
                <w:lang w:val="en-US" w:eastAsia="zh-CN" w:bidi="ar-SA"/>
              </w:rPr>
              <w:t>讲座</w:t>
            </w:r>
            <w:r>
              <w:rPr>
                <w:rFonts w:hint="default" w:ascii="Times New Roman" w:hAnsi="Times New Roman" w:eastAsia="宋体" w:cs="Times New Roman"/>
                <w:kern w:val="2"/>
                <w:sz w:val="21"/>
                <w:szCs w:val="21"/>
                <w:lang w:val="en-US" w:eastAsia="zh-CN" w:bidi="ar-SA"/>
              </w:rPr>
              <w:t>旨在向青少年学</w:t>
            </w:r>
            <w:r>
              <w:rPr>
                <w:rFonts w:hint="eastAsia" w:ascii="Times New Roman" w:hAnsi="Times New Roman" w:eastAsia="宋体" w:cs="Times New Roman"/>
                <w:kern w:val="2"/>
                <w:sz w:val="21"/>
                <w:szCs w:val="21"/>
                <w:lang w:val="en-US" w:eastAsia="zh-CN" w:bidi="ar-SA"/>
              </w:rPr>
              <w:t>生宣讲反对校园霸凌及</w:t>
            </w:r>
            <w:r>
              <w:rPr>
                <w:rFonts w:hint="default" w:ascii="Times New Roman" w:hAnsi="Times New Roman" w:eastAsia="宋体" w:cs="Times New Roman"/>
                <w:kern w:val="2"/>
                <w:sz w:val="21"/>
                <w:szCs w:val="21"/>
                <w:lang w:val="en-US" w:eastAsia="zh-CN" w:bidi="ar-SA"/>
              </w:rPr>
              <w:t>保持身心健康</w:t>
            </w:r>
            <w:r>
              <w:rPr>
                <w:rFonts w:hint="eastAsia" w:ascii="Times New Roman" w:hAnsi="Times New Roman" w:eastAsia="宋体" w:cs="Times New Roman"/>
                <w:kern w:val="2"/>
                <w:sz w:val="21"/>
                <w:szCs w:val="21"/>
                <w:lang w:val="en-US" w:eastAsia="zh-CN" w:bidi="ar-SA"/>
              </w:rPr>
              <w:t>的重要性</w:t>
            </w:r>
            <w:r>
              <w:rPr>
                <w:rFonts w:hint="default" w:ascii="Times New Roman" w:hAnsi="Times New Roman" w:eastAsia="宋体" w:cs="Times New Roman"/>
                <w:kern w:val="2"/>
                <w:sz w:val="21"/>
                <w:szCs w:val="21"/>
                <w:lang w:val="en-US" w:eastAsia="zh-CN" w:bidi="ar-SA"/>
              </w:rPr>
              <w:t>。通过互动讲座、案例分析和角色扮演等教学方式，学生将学会识别潜在的安全风险</w:t>
            </w:r>
            <w:r>
              <w:rPr>
                <w:rFonts w:hint="eastAsia" w:ascii="Times New Roman" w:hAnsi="Times New Roman" w:eastAsia="宋体" w:cs="Times New Roman"/>
                <w:kern w:val="2"/>
                <w:sz w:val="21"/>
                <w:szCs w:val="21"/>
                <w:lang w:val="en-US" w:eastAsia="zh-CN" w:bidi="ar-SA"/>
              </w:rPr>
              <w:t>、增加</w:t>
            </w:r>
            <w:r>
              <w:rPr>
                <w:rFonts w:hint="default" w:ascii="Times New Roman" w:hAnsi="Times New Roman" w:eastAsia="宋体" w:cs="Times New Roman"/>
                <w:kern w:val="2"/>
                <w:sz w:val="21"/>
                <w:szCs w:val="21"/>
                <w:lang w:val="en-US" w:eastAsia="zh-CN" w:bidi="ar-SA"/>
              </w:rPr>
              <w:t>防范校园霸凌</w:t>
            </w:r>
            <w:r>
              <w:rPr>
                <w:rFonts w:hint="eastAsia" w:ascii="Times New Roman" w:hAnsi="Times New Roman" w:eastAsia="宋体" w:cs="Times New Roman"/>
                <w:kern w:val="2"/>
                <w:sz w:val="21"/>
                <w:szCs w:val="21"/>
                <w:lang w:val="en-US" w:eastAsia="zh-CN" w:bidi="ar-SA"/>
              </w:rPr>
              <w:t>的意识、增加同理心、反对校园霸凌，共同维护校园安全。</w:t>
            </w:r>
          </w:p>
          <w:p w14:paraId="3007956A">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14:paraId="7CA1A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D510631">
            <w:pPr>
              <w:adjustRightInd w:val="0"/>
              <w:snapToGrid w:val="0"/>
              <w:spacing w:line="320" w:lineRule="exact"/>
              <w:jc w:val="center"/>
              <w:rPr>
                <w:rFonts w:hint="default" w:eastAsia="宋体"/>
                <w:szCs w:val="21"/>
                <w:lang w:val="en-US" w:eastAsia="zh-CN"/>
              </w:rPr>
            </w:pPr>
            <w:r>
              <w:rPr>
                <w:rFonts w:hint="eastAsia"/>
                <w:szCs w:val="21"/>
                <w:lang w:val="en-US" w:eastAsia="zh-CN"/>
              </w:rPr>
              <w:t>32</w:t>
            </w:r>
          </w:p>
        </w:tc>
        <w:tc>
          <w:tcPr>
            <w:tcW w:w="847" w:type="dxa"/>
            <w:vAlign w:val="center"/>
          </w:tcPr>
          <w:p w14:paraId="7C0437E1">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吴迪</w:t>
            </w:r>
          </w:p>
        </w:tc>
        <w:tc>
          <w:tcPr>
            <w:tcW w:w="1484" w:type="dxa"/>
            <w:vAlign w:val="center"/>
          </w:tcPr>
          <w:p w14:paraId="1F96A153">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常州经济开发区新田家庭健康促进中心</w:t>
            </w:r>
          </w:p>
        </w:tc>
        <w:tc>
          <w:tcPr>
            <w:tcW w:w="2198" w:type="dxa"/>
            <w:vAlign w:val="center"/>
          </w:tcPr>
          <w:p w14:paraId="68C87E4B">
            <w:pPr>
              <w:adjustRightInd w:val="0"/>
              <w:snapToGrid w:val="0"/>
              <w:spacing w:line="320" w:lineRule="exact"/>
              <w:jc w:val="both"/>
              <w:rPr>
                <w:rFonts w:hint="eastAsia" w:ascii="Times New Roman" w:hAnsi="Times New Roman" w:eastAsia="宋体" w:cs="Times New Roman"/>
                <w:kern w:val="2"/>
                <w:sz w:val="21"/>
                <w:szCs w:val="21"/>
                <w:lang w:val="en-US" w:eastAsia="zh-CN" w:bidi="ar-SA"/>
              </w:rPr>
            </w:pPr>
            <w:r>
              <w:rPr>
                <w:rFonts w:hint="eastAsia"/>
                <w:szCs w:val="21"/>
                <w:lang w:val="en-US" w:eastAsia="zh-CN"/>
              </w:rPr>
              <w:t>副高级/双硕士</w:t>
            </w:r>
          </w:p>
        </w:tc>
        <w:tc>
          <w:tcPr>
            <w:tcW w:w="1581" w:type="dxa"/>
            <w:vAlign w:val="center"/>
          </w:tcPr>
          <w:p w14:paraId="2D984231">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15261902326</w:t>
            </w:r>
          </w:p>
        </w:tc>
        <w:tc>
          <w:tcPr>
            <w:tcW w:w="2240" w:type="dxa"/>
            <w:vAlign w:val="center"/>
          </w:tcPr>
          <w:p w14:paraId="1DEEB617">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lang w:eastAsia="zh-CN"/>
              </w:rPr>
              <w:t>《</w:t>
            </w:r>
            <w:r>
              <w:rPr>
                <w:rFonts w:hint="eastAsia"/>
                <w:szCs w:val="21"/>
              </w:rPr>
              <w:t>青春期心理挑战与应对</w:t>
            </w:r>
            <w:r>
              <w:rPr>
                <w:rFonts w:hint="eastAsia"/>
                <w:szCs w:val="21"/>
                <w:lang w:eastAsia="zh-CN"/>
              </w:rPr>
              <w:t>》</w:t>
            </w:r>
          </w:p>
        </w:tc>
        <w:tc>
          <w:tcPr>
            <w:tcW w:w="5543" w:type="dxa"/>
            <w:vAlign w:val="center"/>
          </w:tcPr>
          <w:p w14:paraId="7CF8C5DC">
            <w:pPr>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kern w:val="2"/>
                <w:sz w:val="21"/>
                <w:szCs w:val="21"/>
                <w:lang w:val="en-US" w:eastAsia="zh-CN" w:bidi="ar-SA"/>
              </w:rPr>
              <w:t>讲座</w:t>
            </w:r>
            <w:r>
              <w:rPr>
                <w:rFonts w:hint="default" w:ascii="Times New Roman" w:hAnsi="Times New Roman" w:eastAsia="宋体" w:cs="Times New Roman"/>
                <w:kern w:val="2"/>
                <w:sz w:val="21"/>
                <w:szCs w:val="21"/>
                <w:lang w:val="en-US" w:eastAsia="zh-CN" w:bidi="ar-SA"/>
              </w:rPr>
              <w:t>旨在向青少年学</w:t>
            </w:r>
            <w:r>
              <w:rPr>
                <w:rFonts w:hint="eastAsia" w:ascii="Times New Roman" w:hAnsi="Times New Roman" w:eastAsia="宋体" w:cs="Times New Roman"/>
                <w:kern w:val="2"/>
                <w:sz w:val="21"/>
                <w:szCs w:val="21"/>
                <w:lang w:val="en-US" w:eastAsia="zh-CN" w:bidi="ar-SA"/>
              </w:rPr>
              <w:t>生宣讲青春期心理特点，青春期的心理挑战以及应对策略。</w:t>
            </w:r>
            <w:r>
              <w:rPr>
                <w:rFonts w:hint="default" w:ascii="Times New Roman" w:hAnsi="Times New Roman" w:eastAsia="宋体" w:cs="Times New Roman"/>
                <w:kern w:val="2"/>
                <w:sz w:val="21"/>
                <w:szCs w:val="21"/>
                <w:lang w:val="en-US" w:eastAsia="zh-CN" w:bidi="ar-SA"/>
              </w:rPr>
              <w:t>通过互动讲座、案例分析和角色扮演等教学方式，</w:t>
            </w:r>
            <w:r>
              <w:rPr>
                <w:rFonts w:hint="eastAsia" w:ascii="Times New Roman" w:hAnsi="Times New Roman" w:eastAsia="宋体" w:cs="Times New Roman"/>
                <w:kern w:val="2"/>
                <w:sz w:val="21"/>
                <w:szCs w:val="21"/>
                <w:lang w:val="en-US" w:eastAsia="zh-CN" w:bidi="ar-SA"/>
              </w:rPr>
              <w:t>帮助</w:t>
            </w:r>
            <w:r>
              <w:rPr>
                <w:rFonts w:hint="default" w:ascii="Times New Roman" w:hAnsi="Times New Roman" w:eastAsia="宋体" w:cs="Times New Roman"/>
                <w:kern w:val="2"/>
                <w:sz w:val="21"/>
                <w:szCs w:val="21"/>
                <w:lang w:val="en-US" w:eastAsia="zh-CN" w:bidi="ar-SA"/>
              </w:rPr>
              <w:t>青少年学</w:t>
            </w:r>
            <w:r>
              <w:rPr>
                <w:rFonts w:hint="eastAsia" w:ascii="Times New Roman" w:hAnsi="Times New Roman" w:eastAsia="宋体" w:cs="Times New Roman"/>
                <w:kern w:val="2"/>
                <w:sz w:val="21"/>
                <w:szCs w:val="21"/>
                <w:lang w:val="en-US" w:eastAsia="zh-CN" w:bidi="ar-SA"/>
              </w:rPr>
              <w:t>生更好地理解这</w:t>
            </w:r>
            <w:r>
              <w:rPr>
                <w:rFonts w:hint="default" w:ascii="Times New Roman" w:hAnsi="Times New Roman" w:eastAsia="宋体" w:cs="Times New Roman"/>
                <w:kern w:val="2"/>
                <w:sz w:val="21"/>
                <w:szCs w:val="21"/>
                <w:lang w:val="en-US" w:eastAsia="zh-CN" w:bidi="ar-SA"/>
              </w:rPr>
              <w:t>个充满挑战但也充满机遇的时期</w:t>
            </w:r>
            <w:r>
              <w:rPr>
                <w:rFonts w:hint="eastAsia" w:ascii="Times New Roman" w:hAnsi="Times New Roman" w:eastAsia="宋体" w:cs="Times New Roman"/>
                <w:kern w:val="2"/>
                <w:sz w:val="21"/>
                <w:szCs w:val="21"/>
                <w:lang w:val="en-US" w:eastAsia="zh-CN" w:bidi="ar-SA"/>
              </w:rPr>
              <w:t>、更好地</w:t>
            </w:r>
            <w:r>
              <w:rPr>
                <w:rFonts w:hint="default" w:ascii="Times New Roman" w:hAnsi="Times New Roman" w:eastAsia="宋体" w:cs="Times New Roman"/>
                <w:kern w:val="2"/>
                <w:sz w:val="21"/>
                <w:szCs w:val="21"/>
                <w:lang w:val="en-US" w:eastAsia="zh-CN" w:bidi="ar-SA"/>
              </w:rPr>
              <w:t>适应这个特殊的成长阶段。</w:t>
            </w:r>
          </w:p>
          <w:p w14:paraId="2923FE2B">
            <w:pPr>
              <w:adjustRightInd w:val="0"/>
              <w:snapToGrid w:val="0"/>
              <w:spacing w:line="320" w:lineRule="exact"/>
              <w:rPr>
                <w:rFonts w:hint="eastAsia" w:ascii="Times New Roman" w:hAnsi="Times New Roman" w:eastAsia="宋体" w:cs="Times New Roman"/>
                <w:kern w:val="2"/>
                <w:sz w:val="21"/>
                <w:szCs w:val="21"/>
                <w:lang w:val="en-US" w:eastAsia="zh-CN" w:bidi="ar-SA"/>
              </w:rPr>
            </w:pPr>
          </w:p>
        </w:tc>
      </w:tr>
      <w:tr w14:paraId="21A0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089B2807">
            <w:pPr>
              <w:adjustRightInd w:val="0"/>
              <w:snapToGrid w:val="0"/>
              <w:spacing w:line="320" w:lineRule="exact"/>
              <w:jc w:val="center"/>
              <w:rPr>
                <w:rFonts w:hint="default" w:eastAsia="宋体"/>
                <w:szCs w:val="21"/>
                <w:lang w:val="en-US" w:eastAsia="zh-CN"/>
              </w:rPr>
            </w:pPr>
            <w:r>
              <w:rPr>
                <w:rFonts w:hint="eastAsia"/>
                <w:szCs w:val="21"/>
                <w:lang w:val="en-US" w:eastAsia="zh-CN"/>
              </w:rPr>
              <w:t>33</w:t>
            </w:r>
          </w:p>
        </w:tc>
        <w:tc>
          <w:tcPr>
            <w:tcW w:w="847" w:type="dxa"/>
            <w:vAlign w:val="center"/>
          </w:tcPr>
          <w:p w14:paraId="39B21D05">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邢绍邦</w:t>
            </w:r>
          </w:p>
        </w:tc>
        <w:tc>
          <w:tcPr>
            <w:tcW w:w="1484" w:type="dxa"/>
            <w:vAlign w:val="center"/>
          </w:tcPr>
          <w:p w14:paraId="39DA776B">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江苏理工学院</w:t>
            </w:r>
          </w:p>
        </w:tc>
        <w:tc>
          <w:tcPr>
            <w:tcW w:w="2198" w:type="dxa"/>
            <w:vAlign w:val="center"/>
          </w:tcPr>
          <w:p w14:paraId="7644A25C">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常州市人工智能学会秘书长、副教授、硕士研究生</w:t>
            </w:r>
          </w:p>
        </w:tc>
        <w:tc>
          <w:tcPr>
            <w:tcW w:w="1581" w:type="dxa"/>
            <w:vAlign w:val="center"/>
          </w:tcPr>
          <w:p w14:paraId="78A4E5BD">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rPr>
              <w:t>18112322682</w:t>
            </w:r>
          </w:p>
        </w:tc>
        <w:tc>
          <w:tcPr>
            <w:tcW w:w="2240" w:type="dxa"/>
            <w:vAlign w:val="center"/>
          </w:tcPr>
          <w:p w14:paraId="49E891DA">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szCs w:val="21"/>
              </w:rPr>
              <w:t>面向人工智能时代的青少年人才培养</w:t>
            </w:r>
          </w:p>
        </w:tc>
        <w:tc>
          <w:tcPr>
            <w:tcW w:w="5543" w:type="dxa"/>
            <w:vAlign w:val="top"/>
          </w:tcPr>
          <w:p w14:paraId="63C097C5">
            <w:pPr>
              <w:numPr>
                <w:ilvl w:val="0"/>
                <w:numId w:val="1"/>
              </w:numPr>
              <w:rPr>
                <w:rFonts w:ascii="宋体" w:hAnsi="宋体" w:cs="宋体"/>
                <w:szCs w:val="21"/>
              </w:rPr>
            </w:pPr>
            <w:r>
              <w:rPr>
                <w:rFonts w:hint="eastAsia" w:ascii="宋体" w:hAnsi="宋体" w:cs="宋体"/>
                <w:szCs w:val="21"/>
              </w:rPr>
              <w:t>互动开场：随着各种智能化装置走入我们的生活，我们逐渐进入了人工智能时代。其中，LED灯具有一定的代表性。现场编程演示LED灯的控制。</w:t>
            </w:r>
          </w:p>
          <w:p w14:paraId="4FB08487">
            <w:pPr>
              <w:numPr>
                <w:ilvl w:val="0"/>
                <w:numId w:val="1"/>
              </w:numPr>
              <w:rPr>
                <w:rFonts w:ascii="宋体" w:hAnsi="宋体" w:cs="宋体"/>
                <w:szCs w:val="21"/>
              </w:rPr>
            </w:pPr>
            <w:r>
              <w:rPr>
                <w:rFonts w:hint="eastAsia" w:ascii="宋体" w:hAnsi="宋体" w:cs="宋体"/>
                <w:szCs w:val="21"/>
              </w:rPr>
              <w:t>讲述人工智能时代背景下青少年机器人与编程教育的重要性，青少年机器人与编程教育的内容与方式。</w:t>
            </w:r>
          </w:p>
          <w:p w14:paraId="3E825AC1">
            <w:pPr>
              <w:rPr>
                <w:rFonts w:hint="eastAsia" w:ascii="Times New Roman" w:hAnsi="Times New Roman" w:eastAsia="宋体" w:cs="Times New Roman"/>
                <w:kern w:val="2"/>
                <w:sz w:val="21"/>
                <w:szCs w:val="21"/>
                <w:lang w:val="en-US" w:eastAsia="zh-CN" w:bidi="ar-SA"/>
              </w:rPr>
            </w:pPr>
            <w:r>
              <w:rPr>
                <w:rFonts w:hint="eastAsia" w:ascii="宋体" w:hAnsi="宋体" w:cs="宋体"/>
                <w:szCs w:val="21"/>
              </w:rPr>
              <w:t>（3）现场演示：现场展示典型机器人搭建，请观众观摩。</w:t>
            </w:r>
          </w:p>
        </w:tc>
      </w:tr>
      <w:tr w14:paraId="16C4A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4823E2E7">
            <w:pPr>
              <w:adjustRightInd w:val="0"/>
              <w:snapToGrid w:val="0"/>
              <w:spacing w:line="320" w:lineRule="exact"/>
              <w:jc w:val="center"/>
              <w:rPr>
                <w:rFonts w:hint="default"/>
                <w:szCs w:val="21"/>
                <w:lang w:val="en-US" w:eastAsia="zh-CN"/>
              </w:rPr>
            </w:pPr>
            <w:r>
              <w:rPr>
                <w:rFonts w:hint="eastAsia"/>
                <w:szCs w:val="21"/>
                <w:lang w:val="en-US" w:eastAsia="zh-CN"/>
              </w:rPr>
              <w:t>34</w:t>
            </w:r>
          </w:p>
        </w:tc>
        <w:tc>
          <w:tcPr>
            <w:tcW w:w="847" w:type="dxa"/>
            <w:vAlign w:val="center"/>
          </w:tcPr>
          <w:p w14:paraId="75E6D9CC">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王国旭</w:t>
            </w:r>
          </w:p>
        </w:tc>
        <w:tc>
          <w:tcPr>
            <w:tcW w:w="1484" w:type="dxa"/>
            <w:vAlign w:val="center"/>
          </w:tcPr>
          <w:p w14:paraId="7705AB2F">
            <w:pPr>
              <w:overflowPunct w:val="0"/>
              <w:autoSpaceDE w:val="0"/>
              <w:autoSpaceDN w:val="0"/>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江苏省中小学职业体验中心（时空信息职业体验中心）</w:t>
            </w:r>
          </w:p>
        </w:tc>
        <w:tc>
          <w:tcPr>
            <w:tcW w:w="2198" w:type="dxa"/>
            <w:vAlign w:val="center"/>
          </w:tcPr>
          <w:p w14:paraId="2005FD8E">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中心副主任、常州市科普大使、江苏省仪器仪表学会科普工作专业委员副主任、江苏省计算机学会科普工作专业委员副秘书长</w:t>
            </w:r>
          </w:p>
        </w:tc>
        <w:tc>
          <w:tcPr>
            <w:tcW w:w="1581" w:type="dxa"/>
            <w:vAlign w:val="center"/>
          </w:tcPr>
          <w:p w14:paraId="20649462">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kern w:val="0"/>
                <w:szCs w:val="21"/>
              </w:rPr>
              <w:t>18661144888</w:t>
            </w:r>
          </w:p>
        </w:tc>
        <w:tc>
          <w:tcPr>
            <w:tcW w:w="2240" w:type="dxa"/>
            <w:vAlign w:val="center"/>
          </w:tcPr>
          <w:p w14:paraId="35260240">
            <w:pPr>
              <w:pStyle w:val="3"/>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Times New Roman"/>
                <w:kern w:val="0"/>
                <w:sz w:val="24"/>
                <w:szCs w:val="21"/>
                <w:lang w:val="en-US" w:eastAsia="zh-CN" w:bidi="ar-SA"/>
              </w:rPr>
            </w:pPr>
            <w:r>
              <w:rPr>
                <w:rFonts w:hint="eastAsia" w:ascii="Times New Roman" w:hAnsi="Times New Roman" w:eastAsia="宋体" w:cs="Times New Roman"/>
                <w:kern w:val="2"/>
                <w:sz w:val="21"/>
                <w:szCs w:val="21"/>
                <w:lang w:val="en-US" w:eastAsia="zh-CN" w:bidi="ar-SA"/>
              </w:rPr>
              <w:t>繁星作伴·逐梦航天</w:t>
            </w:r>
          </w:p>
        </w:tc>
        <w:tc>
          <w:tcPr>
            <w:tcW w:w="5543" w:type="dxa"/>
            <w:vAlign w:val="center"/>
          </w:tcPr>
          <w:p w14:paraId="5CC82625">
            <w:pPr>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eastAsia"/>
              </w:rPr>
              <w:t>讲座着重呈现航天领域。回顾航天发展，从早期探索到如今的显著成就。深入剖析火箭技术，如原理、构造与推进系统。同时展望航天未来，包括更先进的火箭研发、星际旅行可能性以及太空资源的开发利用。讲座通过精彩展示和生动讲解，激发对航天的无限遐想。传播航天知识与精神，引领人们憧憬未来太空探索的辉煌篇章，向着浩瀚宇宙勇敢前行。</w:t>
            </w:r>
          </w:p>
        </w:tc>
      </w:tr>
      <w:tr w14:paraId="70C01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7C5D6E8F">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35</w:t>
            </w:r>
          </w:p>
        </w:tc>
        <w:tc>
          <w:tcPr>
            <w:tcW w:w="847" w:type="dxa"/>
            <w:vAlign w:val="center"/>
          </w:tcPr>
          <w:p w14:paraId="78D13795">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顾敏</w:t>
            </w:r>
          </w:p>
        </w:tc>
        <w:tc>
          <w:tcPr>
            <w:tcW w:w="1484" w:type="dxa"/>
            <w:vAlign w:val="center"/>
          </w:tcPr>
          <w:p w14:paraId="704A657A">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14:paraId="76641DB4">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副主任医师</w:t>
            </w:r>
          </w:p>
        </w:tc>
        <w:tc>
          <w:tcPr>
            <w:tcW w:w="1581" w:type="dxa"/>
            <w:vAlign w:val="center"/>
          </w:tcPr>
          <w:p w14:paraId="42789ABC">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13601509162</w:t>
            </w:r>
          </w:p>
        </w:tc>
        <w:tc>
          <w:tcPr>
            <w:tcW w:w="2240" w:type="dxa"/>
            <w:vAlign w:val="center"/>
          </w:tcPr>
          <w:p w14:paraId="1EFFA53D">
            <w:pPr>
              <w:tabs>
                <w:tab w:val="left" w:pos="720"/>
              </w:tabs>
              <w:adjustRightInd w:val="0"/>
              <w:snapToGrid w:val="0"/>
              <w:spacing w:line="320" w:lineRule="exact"/>
              <w:jc w:val="center"/>
              <w:rPr>
                <w:rFonts w:hint="eastAsia"/>
                <w:kern w:val="0"/>
                <w:szCs w:val="21"/>
              </w:rPr>
            </w:pPr>
            <w:r>
              <w:rPr>
                <w:rFonts w:hint="eastAsia"/>
                <w:kern w:val="0"/>
                <w:szCs w:val="21"/>
              </w:rPr>
              <w:t xml:space="preserve"> 口腔促健康，</w:t>
            </w:r>
          </w:p>
          <w:p w14:paraId="176A07EC">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科普向未来</w:t>
            </w:r>
          </w:p>
        </w:tc>
        <w:tc>
          <w:tcPr>
            <w:tcW w:w="5543" w:type="dxa"/>
            <w:vAlign w:val="center"/>
          </w:tcPr>
          <w:p w14:paraId="7AA89732">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kern w:val="0"/>
                <w:szCs w:val="21"/>
              </w:rPr>
              <w:t>向各年龄段在校学生科普口腔常见疾病与原因，提升学生的口腔健康意识，提高学生维护口腔健康的能力，让学生的自信笑容在”牙齿齐白美”中绽放。</w:t>
            </w:r>
          </w:p>
        </w:tc>
      </w:tr>
      <w:tr w14:paraId="20C38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F837913">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36</w:t>
            </w:r>
          </w:p>
        </w:tc>
        <w:tc>
          <w:tcPr>
            <w:tcW w:w="847" w:type="dxa"/>
            <w:vAlign w:val="center"/>
          </w:tcPr>
          <w:p w14:paraId="3ED9DC8D">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顾敏</w:t>
            </w:r>
          </w:p>
        </w:tc>
        <w:tc>
          <w:tcPr>
            <w:tcW w:w="1484" w:type="dxa"/>
            <w:vAlign w:val="center"/>
          </w:tcPr>
          <w:p w14:paraId="6DCEC82D">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14:paraId="16E963A4">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副主任医师</w:t>
            </w:r>
          </w:p>
        </w:tc>
        <w:tc>
          <w:tcPr>
            <w:tcW w:w="1581" w:type="dxa"/>
            <w:vAlign w:val="center"/>
          </w:tcPr>
          <w:p w14:paraId="04941CFF">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13601509162</w:t>
            </w:r>
          </w:p>
        </w:tc>
        <w:tc>
          <w:tcPr>
            <w:tcW w:w="2240" w:type="dxa"/>
            <w:vAlign w:val="center"/>
          </w:tcPr>
          <w:p w14:paraId="5CB87397">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儿童及青少年口腔健康及颜面美学管理</w:t>
            </w:r>
          </w:p>
        </w:tc>
        <w:tc>
          <w:tcPr>
            <w:tcW w:w="5543" w:type="dxa"/>
            <w:vAlign w:val="center"/>
          </w:tcPr>
          <w:p w14:paraId="28289E7C">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kern w:val="0"/>
                <w:szCs w:val="21"/>
              </w:rPr>
              <w:t>小学生、初高中学生各年龄段的口腔卫生维护措施、体育运动时牙齿外伤、面部损伤的急性在校应急处理、颜面部美学的早期塑形（牙齿矫正的方法、矫治器、矫治工具的高性价比选择）</w:t>
            </w:r>
          </w:p>
        </w:tc>
      </w:tr>
      <w:tr w14:paraId="1288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020F181C">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37</w:t>
            </w:r>
          </w:p>
        </w:tc>
        <w:tc>
          <w:tcPr>
            <w:tcW w:w="847" w:type="dxa"/>
            <w:vAlign w:val="center"/>
          </w:tcPr>
          <w:p w14:paraId="09076B70">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黄钧</w:t>
            </w:r>
          </w:p>
        </w:tc>
        <w:tc>
          <w:tcPr>
            <w:tcW w:w="1484" w:type="dxa"/>
            <w:vAlign w:val="center"/>
          </w:tcPr>
          <w:p w14:paraId="63FDFE83">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rPr>
              <w:t>常州市第一人民医院</w:t>
            </w:r>
          </w:p>
        </w:tc>
        <w:tc>
          <w:tcPr>
            <w:tcW w:w="2198" w:type="dxa"/>
            <w:vAlign w:val="center"/>
          </w:tcPr>
          <w:p w14:paraId="2FB13E4E">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主任医师</w:t>
            </w:r>
          </w:p>
        </w:tc>
        <w:tc>
          <w:tcPr>
            <w:tcW w:w="1581" w:type="dxa"/>
            <w:vAlign w:val="center"/>
          </w:tcPr>
          <w:p w14:paraId="1949EE29">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rPr>
              <w:t>13915023751</w:t>
            </w:r>
          </w:p>
        </w:tc>
        <w:tc>
          <w:tcPr>
            <w:tcW w:w="2240" w:type="dxa"/>
            <w:vAlign w:val="center"/>
          </w:tcPr>
          <w:p w14:paraId="3DE79E78">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rPr>
              <w:t>青春期生理卫生健康</w:t>
            </w:r>
          </w:p>
        </w:tc>
        <w:tc>
          <w:tcPr>
            <w:tcW w:w="5543" w:type="dxa"/>
            <w:vAlign w:val="center"/>
          </w:tcPr>
          <w:p w14:paraId="7BE182DD">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szCs w:val="21"/>
              </w:rPr>
              <w:t>帮助青少年平稳、顺利地渡过青春期，引导青少年树立正确的青春期观念，用心、用爱，护航青春之花，普及青春期、青春期的身体变化、女性生殖系统组成、月经是什么以及经期护理、自尊自爱，学会保护自己等相关知识</w:t>
            </w:r>
          </w:p>
        </w:tc>
      </w:tr>
      <w:tr w14:paraId="09FE4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592" w:type="dxa"/>
            <w:vAlign w:val="center"/>
          </w:tcPr>
          <w:p w14:paraId="1995DC4F">
            <w:pPr>
              <w:tabs>
                <w:tab w:val="left" w:pos="720"/>
              </w:tabs>
              <w:adjustRightInd w:val="0"/>
              <w:snapToGrid w:val="0"/>
              <w:spacing w:line="32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38</w:t>
            </w:r>
          </w:p>
        </w:tc>
        <w:tc>
          <w:tcPr>
            <w:tcW w:w="847" w:type="dxa"/>
            <w:vAlign w:val="center"/>
          </w:tcPr>
          <w:p w14:paraId="4F3F9D60">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eastAsia="zh-CN"/>
              </w:rPr>
              <w:t>张宏宇</w:t>
            </w:r>
          </w:p>
        </w:tc>
        <w:tc>
          <w:tcPr>
            <w:tcW w:w="1484" w:type="dxa"/>
            <w:vAlign w:val="center"/>
          </w:tcPr>
          <w:p w14:paraId="345628ED">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kern w:val="0"/>
                <w:szCs w:val="21"/>
                <w:lang w:eastAsia="zh-CN"/>
              </w:rPr>
              <w:t>常州市第一人民医院</w:t>
            </w:r>
          </w:p>
        </w:tc>
        <w:tc>
          <w:tcPr>
            <w:tcW w:w="2198" w:type="dxa"/>
            <w:vAlign w:val="center"/>
          </w:tcPr>
          <w:p w14:paraId="784AC3D7">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cs="Times New Roman"/>
                <w:kern w:val="2"/>
                <w:sz w:val="21"/>
                <w:szCs w:val="21"/>
                <w:lang w:val="en-US" w:eastAsia="zh-CN" w:bidi="ar-SA"/>
              </w:rPr>
              <w:t>副主任护师</w:t>
            </w:r>
          </w:p>
        </w:tc>
        <w:tc>
          <w:tcPr>
            <w:tcW w:w="1581" w:type="dxa"/>
            <w:vAlign w:val="center"/>
          </w:tcPr>
          <w:p w14:paraId="168AA4C8">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lang w:val="en-US" w:eastAsia="zh-CN"/>
              </w:rPr>
              <w:t>13813662613</w:t>
            </w:r>
          </w:p>
        </w:tc>
        <w:tc>
          <w:tcPr>
            <w:tcW w:w="2240" w:type="dxa"/>
            <w:vAlign w:val="center"/>
          </w:tcPr>
          <w:p w14:paraId="2E31B059">
            <w:pPr>
              <w:tabs>
                <w:tab w:val="left" w:pos="720"/>
              </w:tabs>
              <w:adjustRightInd w:val="0"/>
              <w:snapToGrid w:val="0"/>
              <w:spacing w:line="320" w:lineRule="exact"/>
              <w:jc w:val="center"/>
              <w:rPr>
                <w:rFonts w:hint="eastAsia" w:ascii="Times New Roman" w:hAnsi="Times New Roman" w:eastAsia="宋体" w:cs="Times New Roman"/>
                <w:kern w:val="0"/>
                <w:sz w:val="21"/>
                <w:szCs w:val="21"/>
                <w:lang w:val="en-US" w:eastAsia="zh-CN" w:bidi="ar-SA"/>
              </w:rPr>
            </w:pPr>
            <w:r>
              <w:rPr>
                <w:rFonts w:hint="eastAsia"/>
                <w:szCs w:val="21"/>
                <w:lang w:eastAsia="zh-CN"/>
              </w:rPr>
              <w:t>急救知识进校园</w:t>
            </w:r>
          </w:p>
        </w:tc>
        <w:tc>
          <w:tcPr>
            <w:tcW w:w="5543" w:type="dxa"/>
            <w:vAlign w:val="center"/>
          </w:tcPr>
          <w:p w14:paraId="19FD67CB">
            <w:pPr>
              <w:tabs>
                <w:tab w:val="left" w:pos="720"/>
              </w:tabs>
              <w:adjustRightInd w:val="0"/>
              <w:snapToGrid w:val="0"/>
              <w:spacing w:line="320" w:lineRule="exact"/>
              <w:rPr>
                <w:rFonts w:hint="eastAsia" w:ascii="Times New Roman" w:hAnsi="Times New Roman" w:eastAsia="宋体" w:cs="Times New Roman"/>
                <w:kern w:val="0"/>
                <w:sz w:val="21"/>
                <w:szCs w:val="21"/>
                <w:lang w:val="en-US" w:eastAsia="zh-CN" w:bidi="ar-SA"/>
              </w:rPr>
            </w:pPr>
            <w:r>
              <w:rPr>
                <w:rFonts w:hint="eastAsia"/>
                <w:szCs w:val="21"/>
                <w:lang w:eastAsia="zh-CN"/>
              </w:rPr>
              <w:t>校园安全一直是备受社会关注的话题，为进一步推进应急救护知识进校园，提升师生救护知识和技能，在校园内倡导“人人学急救、急救为人人”的社会文明新风尚，帮助学校有效应对可能出现的突发事件，并通过校园，将急救知识传播给身边人，推动生命教育走深走实（</w:t>
            </w:r>
            <w:r>
              <w:rPr>
                <w:rFonts w:hint="eastAsia"/>
                <w:lang w:eastAsia="zh-CN"/>
              </w:rPr>
              <w:t>创伤的急救处置、海姆立克急救法、心肺复苏术、</w:t>
            </w:r>
            <w:r>
              <w:rPr>
                <w:rFonts w:hint="eastAsia"/>
                <w:lang w:val="en-US" w:eastAsia="zh-CN"/>
              </w:rPr>
              <w:t>AED使用、中毒的急救处置、中暑的急救处置</w:t>
            </w:r>
            <w:r>
              <w:rPr>
                <w:rFonts w:hint="eastAsia"/>
                <w:szCs w:val="21"/>
                <w:lang w:eastAsia="zh-CN"/>
              </w:rPr>
              <w:t>）</w:t>
            </w:r>
          </w:p>
        </w:tc>
      </w:tr>
    </w:tbl>
    <w:p w14:paraId="5A7E5F33">
      <w:pPr>
        <w:jc w:val="left"/>
        <w:rPr>
          <w:rFonts w:hint="eastAsia"/>
        </w:rPr>
      </w:pPr>
    </w:p>
    <w:p w14:paraId="648F172A"/>
    <w:p w14:paraId="314AB919"/>
    <w:p w14:paraId="0ACFF54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FB7DB-0AAF-4841-91E8-F5BCAE2CC7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E9EB390-DA96-4ED6-A553-F703788649BA}"/>
  </w:font>
  <w:font w:name="方正小标宋简体">
    <w:panose1 w:val="02000000000000000000"/>
    <w:charset w:val="86"/>
    <w:family w:val="auto"/>
    <w:pitch w:val="default"/>
    <w:sig w:usb0="00000001" w:usb1="08000000" w:usb2="00000000" w:usb3="00000000" w:csb0="00040000" w:csb1="00000000"/>
    <w:embedRegular r:id="rId3" w:fontKey="{0760DA56-93CA-4D33-B50B-466136B633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A58E"/>
    <w:multiLevelType w:val="singleLevel"/>
    <w:tmpl w:val="81F0A5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NjQwMGMzOThkNWJjYTMwYTkxMmJlYjA4NzI3OTMifQ=="/>
  </w:docVars>
  <w:rsids>
    <w:rsidRoot w:val="0C7B711F"/>
    <w:rsid w:val="0C7B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b/>
      <w:sz w:val="32"/>
    </w:r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2024-08-29T08:53:00Z</dcterms:created>
  <dc:creator>Hannah</dc:creator>
  <cp:lastModifiedBy>Hannah</cp:lastModifiedBy>
  <dcterms:modified xsi:type="dcterms:W3CDTF">2024-08-29T08:54:00Z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2567FB0D35144D37A46FC8DBC8D5049B_11</vt:lpwstr>
  </property>
</Properties>
</file>