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ascii="黑体" w:hAnsi="黑体" w:eastAsia="黑体"/>
          <w:sz w:val="32"/>
          <w:szCs w:val="32"/>
        </w:rPr>
        <w:t>附件</w:t>
      </w:r>
    </w:p>
    <w:p>
      <w:pPr>
        <w:pStyle w:val="2"/>
        <w:ind w:left="4860"/>
        <w:rPr>
          <w:sz w:val="20"/>
          <w:szCs w:val="20"/>
        </w:rPr>
      </w:pPr>
      <w:bookmarkStart w:id="0" w:name="_GoBack"/>
      <w:r>
        <w:drawing>
          <wp:inline distT="0" distB="0" distL="0" distR="0">
            <wp:extent cx="2800350" cy="333375"/>
            <wp:effectExtent l="0" t="0" r="0" b="9525"/>
            <wp:docPr id="1" name="图片 1" descr="C:\Users\ADMINI~1\AppData\Local\Temp\ksohtml1018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10188\wps1.jpg"/>
                    <pic:cNvPicPr>
                      <a:picLocks noChangeAspect="1" noChangeArrowheads="1"/>
                    </pic:cNvPicPr>
                  </pic:nvPicPr>
                  <pic:blipFill>
                    <a:blip r:embed="rId4"/>
                    <a:srcRect/>
                    <a:stretch>
                      <a:fillRect/>
                    </a:stretch>
                  </pic:blipFill>
                  <pic:spPr>
                    <a:xfrm>
                      <a:off x="0" y="0"/>
                      <a:ext cx="2800350" cy="333375"/>
                    </a:xfrm>
                    <a:prstGeom prst="rect">
                      <a:avLst/>
                    </a:prstGeom>
                    <a:noFill/>
                    <a:ln w="9525">
                      <a:noFill/>
                      <a:miter lim="800000"/>
                      <a:headEnd/>
                      <a:tailEnd/>
                    </a:ln>
                  </pic:spPr>
                </pic:pic>
              </a:graphicData>
            </a:graphic>
          </wp:inline>
        </w:drawing>
      </w:r>
      <w:bookmarkEnd w:id="0"/>
    </w:p>
    <w:p>
      <w:pPr>
        <w:pStyle w:val="2"/>
        <w:spacing w:before="55" w:after="21"/>
        <w:ind w:left="121"/>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p>
    <w:tbl>
      <w:tblPr>
        <w:tblStyle w:val="11"/>
        <w:tblW w:w="14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4695"/>
        <w:gridCol w:w="855"/>
        <w:gridCol w:w="1200"/>
        <w:gridCol w:w="1275"/>
        <w:gridCol w:w="1740"/>
        <w:gridCol w:w="840"/>
        <w:gridCol w:w="975"/>
        <w:gridCol w:w="1140"/>
        <w:gridCol w:w="585"/>
        <w:gridCol w:w="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序号</w:t>
            </w:r>
          </w:p>
        </w:tc>
        <w:tc>
          <w:tcPr>
            <w:tcW w:w="4695"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论文名称</w:t>
            </w:r>
          </w:p>
        </w:tc>
        <w:tc>
          <w:tcPr>
            <w:tcW w:w="855"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论文</w:t>
            </w:r>
          </w:p>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作者</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第一作者单位</w:t>
            </w:r>
          </w:p>
        </w:tc>
        <w:tc>
          <w:tcPr>
            <w:tcW w:w="1275"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联系方式</w:t>
            </w:r>
          </w:p>
        </w:tc>
        <w:tc>
          <w:tcPr>
            <w:tcW w:w="1740"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期刊名称</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是否国内期刊</w:t>
            </w:r>
          </w:p>
        </w:tc>
        <w:tc>
          <w:tcPr>
            <w:tcW w:w="975"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论文</w:t>
            </w:r>
          </w:p>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类型</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所属学科集群</w:t>
            </w:r>
          </w:p>
        </w:tc>
        <w:tc>
          <w:tcPr>
            <w:tcW w:w="585"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是否推荐</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黑体" w:hAnsi="黑体" w:eastAsia="黑体" w:cs="Times New Roman"/>
                <w:sz w:val="24"/>
                <w:szCs w:val="24"/>
                <w:lang w:eastAsia="en-US"/>
              </w:rPr>
            </w:pPr>
            <w:r>
              <w:rPr>
                <w:rFonts w:hint="eastAsia" w:ascii="黑体" w:hAnsi="黑体" w:eastAsia="黑体" w:cs="Times New Roman"/>
                <w:sz w:val="24"/>
                <w:szCs w:val="24"/>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1</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Filtering for discrete-time Takagi–Sugeno fuzzy nonhomogeneous Markov jump systems with quantization effects</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华民刚</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河海大学常州校区</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13861082705</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IEEE Transactions on Cybernetics</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信息与电子</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2</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Microstructure and mechanical properties of friction stir welded ultralight Mg-14Li-1Al alloy</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许  楠</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河海大学常州校区</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13585329852</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Materials Characterization</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应用研究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材料与制造</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3</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Process-Aid Solid Engineering Triggers Delicately Modulation of Y-Series Non-Fullerene Acceptor for Efficient Organic Solar Cells</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宋  欣</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常州大学</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18262278396</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Advanced Materials</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能源、化工与环境</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4</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Novel Oligomer Enables Green Solvent Processed 17.5% Ternary Organic Solar Cells: Synergistic Energy Loss Reduction and Morphology Fine-Tuning</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朱卫国</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常州大学</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15251901619</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Advanced Materials</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材料与制造</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5</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zh-CN"/>
              </w:rPr>
            </w:pPr>
            <w:r>
              <w:rPr>
                <w:color w:val="000000"/>
                <w:kern w:val="0"/>
                <w:sz w:val="20"/>
                <w:szCs w:val="20"/>
                <w:lang w:eastAsia="zh-CN"/>
              </w:rPr>
              <w:t>油气长期合约套期保值策略：基于离散方法的理论模型与实证研究</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赵新伟</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江苏理工学院</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13372259960</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系统工程理论与实践</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应用研究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基础与交叉学科</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6</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A novel long noncoding RNA SP100-AS1 induces radioresistance of colorectal cancer via sponging miR-622 and stabilizing ATG3</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周</w:t>
            </w:r>
            <w:r>
              <w:rPr>
                <w:color w:val="000000"/>
                <w:kern w:val="0"/>
                <w:sz w:val="20"/>
                <w:szCs w:val="20"/>
                <w:lang w:eastAsia="en-US"/>
              </w:rPr>
              <w:t xml:space="preserve">  </w:t>
            </w:r>
            <w:r>
              <w:rPr>
                <w:rFonts w:hint="eastAsia"/>
                <w:color w:val="000000"/>
                <w:kern w:val="0"/>
                <w:sz w:val="20"/>
                <w:szCs w:val="20"/>
                <w:lang w:eastAsia="en-US"/>
              </w:rPr>
              <w:t>游</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常州市第一人民医院</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kern w:val="0"/>
                <w:sz w:val="20"/>
                <w:szCs w:val="20"/>
                <w:lang w:eastAsia="en-US"/>
              </w:rPr>
              <w:t>18015881002</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Cell Death &amp; Differentiation</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医药卫生</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tcPr>
          <w:p>
            <w:pPr>
              <w:pStyle w:val="10"/>
              <w:jc w:val="center"/>
              <w:rPr>
                <w:rFonts w:ascii="Times New Roman"/>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7</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Mild C–C Bond Formation via Lewis Acid Catalyzed Oxetane Ring Opening with Soft Carbon Nucleophiles</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黄  海</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常州大学</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15250631667</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Angew. Chem. Int. Ed.</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能源、化工与环境</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8</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Forming All-Carbon Quaternary Stereocenters by Organocatalytic Aminomethylation: Concise Access to β2,2-Amino Acids</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孙江涛</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常州大学</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15961168212</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Angewandte Chemie International Edition</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能源、化工与环境</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9</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A Cooperative-Control-Based Underwater Target Escorting Mechanism With Multiple Autonomous Underwater Vehicles for Underwater Internet of Things</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张  杰</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河海大学常州校区</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18261156629</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IEEE Internet of Things Journal</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信息与电子</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10</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zh-CN"/>
              </w:rPr>
            </w:pPr>
            <w:r>
              <w:rPr>
                <w:color w:val="000000"/>
                <w:kern w:val="0"/>
                <w:sz w:val="20"/>
                <w:szCs w:val="20"/>
                <w:lang w:eastAsia="zh-CN"/>
              </w:rPr>
              <w:t>我国部分地区黄羽肉鸡群鸡传染性贫血病病毒的流行病学调查及致病性分析</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金  松</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zh-CN"/>
              </w:rPr>
            </w:pPr>
            <w:r>
              <w:rPr>
                <w:color w:val="000000"/>
                <w:kern w:val="0"/>
                <w:sz w:val="20"/>
                <w:szCs w:val="20"/>
                <w:lang w:eastAsia="zh-CN"/>
              </w:rPr>
              <w:t>常州市动物疫病预防控制中心</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13685298987</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中国家禽</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农林</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宋体"/>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11</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zh-CN"/>
              </w:rPr>
            </w:pPr>
            <w:r>
              <w:rPr>
                <w:rFonts w:hint="eastAsia"/>
                <w:color w:val="000000"/>
                <w:kern w:val="0"/>
                <w:sz w:val="20"/>
                <w:szCs w:val="20"/>
                <w:lang w:eastAsia="zh-CN"/>
              </w:rPr>
              <w:t>承压饱和破碎岩石颗粒破碎及渗透率演化特征研究</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郁邦永</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zh-CN"/>
              </w:rPr>
            </w:pPr>
            <w:r>
              <w:rPr>
                <w:rFonts w:hint="eastAsia"/>
                <w:color w:val="000000"/>
                <w:kern w:val="0"/>
                <w:sz w:val="20"/>
                <w:szCs w:val="20"/>
                <w:lang w:eastAsia="zh-CN"/>
              </w:rPr>
              <w:t>常州工程职业技术学院</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15261167801</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采矿与安全工程学报</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是</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材料与制造</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center"/>
              <w:rPr>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12</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Self-powered photoelectrochemical sensor for chlorpyrifos detection in fruit and vegetables</w:t>
            </w:r>
            <w:r>
              <w:rPr>
                <w:rFonts w:hint="eastAsia"/>
                <w:color w:val="000000"/>
                <w:kern w:val="0"/>
                <w:sz w:val="20"/>
                <w:szCs w:val="20"/>
                <w:lang w:eastAsia="en-US"/>
              </w:rPr>
              <w:br w:type="textWrapping"/>
            </w:r>
            <w:r>
              <w:rPr>
                <w:rFonts w:hint="eastAsia"/>
                <w:color w:val="000000"/>
                <w:kern w:val="0"/>
                <w:sz w:val="20"/>
                <w:szCs w:val="20"/>
                <w:lang w:eastAsia="en-US"/>
              </w:rPr>
              <w:t>based on metal-ligand charge transfer effect by</w:t>
            </w:r>
            <w:r>
              <w:rPr>
                <w:rFonts w:hint="eastAsia"/>
                <w:color w:val="000000"/>
                <w:kern w:val="0"/>
                <w:sz w:val="20"/>
                <w:szCs w:val="20"/>
                <w:lang w:eastAsia="en-US"/>
              </w:rPr>
              <w:br w:type="textWrapping"/>
            </w:r>
            <w:r>
              <w:rPr>
                <w:rFonts w:hint="eastAsia"/>
                <w:color w:val="000000"/>
                <w:kern w:val="0"/>
                <w:sz w:val="20"/>
                <w:szCs w:val="20"/>
                <w:lang w:eastAsia="en-US"/>
              </w:rPr>
              <w:t>Ti3C2 based Schottky junction</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杜晓娇</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常州工学院</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18262880490</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Food Chemistry</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应用研究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农林集群</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center"/>
              <w:rPr>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13</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A Practically Unified Electrochemical Strategy</w:t>
            </w:r>
            <w:r>
              <w:rPr>
                <w:rFonts w:hint="eastAsia"/>
                <w:color w:val="000000"/>
                <w:kern w:val="0"/>
                <w:sz w:val="20"/>
                <w:szCs w:val="20"/>
                <w:lang w:eastAsia="en-US"/>
              </w:rPr>
              <w:br w:type="textWrapping"/>
            </w:r>
            <w:r>
              <w:rPr>
                <w:rFonts w:hint="eastAsia"/>
                <w:color w:val="000000"/>
                <w:kern w:val="0"/>
                <w:sz w:val="20"/>
                <w:szCs w:val="20"/>
                <w:lang w:eastAsia="en-US"/>
              </w:rPr>
              <w:t>for Ni-Catalyzed</w:t>
            </w:r>
            <w:r>
              <w:rPr>
                <w:rFonts w:hint="eastAsia"/>
                <w:color w:val="000000"/>
                <w:kern w:val="0"/>
                <w:sz w:val="20"/>
                <w:szCs w:val="20"/>
                <w:lang w:eastAsia="en-US"/>
              </w:rPr>
              <w:br w:type="textWrapping"/>
            </w:r>
            <w:r>
              <w:rPr>
                <w:rFonts w:hint="eastAsia"/>
                <w:color w:val="000000"/>
                <w:kern w:val="0"/>
                <w:sz w:val="20"/>
                <w:szCs w:val="20"/>
                <w:lang w:eastAsia="en-US"/>
              </w:rPr>
              <w:t>Decarboxylative Cross-Coupling of Aryl</w:t>
            </w:r>
            <w:r>
              <w:rPr>
                <w:rFonts w:hint="eastAsia"/>
                <w:color w:val="000000"/>
                <w:kern w:val="0"/>
                <w:sz w:val="20"/>
                <w:szCs w:val="20"/>
                <w:lang w:eastAsia="en-US"/>
              </w:rPr>
              <w:br w:type="textWrapping"/>
            </w:r>
            <w:r>
              <w:rPr>
                <w:rFonts w:hint="eastAsia"/>
                <w:color w:val="000000"/>
                <w:kern w:val="0"/>
                <w:sz w:val="20"/>
                <w:szCs w:val="20"/>
                <w:lang w:eastAsia="en-US"/>
              </w:rPr>
              <w:t>Trimethylammonium Salts</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孔宪强</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常州工学院</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18796276179</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Organic Letters</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基础与交叉学科</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center"/>
              <w:rPr>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14</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COVID-19 Docking Server: a meta server for docking small molecules, peptides and antibodies against potential targets of COVID-19</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 xml:space="preserve">孔 </w:t>
            </w:r>
            <w:r>
              <w:rPr>
                <w:color w:val="000000"/>
                <w:kern w:val="0"/>
                <w:sz w:val="20"/>
                <w:szCs w:val="20"/>
                <w:lang w:eastAsia="en-US"/>
              </w:rPr>
              <w:t xml:space="preserve"> </w:t>
            </w:r>
            <w:r>
              <w:rPr>
                <w:rFonts w:hint="eastAsia"/>
                <w:color w:val="000000"/>
                <w:kern w:val="0"/>
                <w:sz w:val="20"/>
                <w:szCs w:val="20"/>
                <w:lang w:eastAsia="en-US"/>
              </w:rPr>
              <w:t>韧</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江苏理工学院</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13951217006</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Bioinformatics</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医药卫生</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center"/>
              <w:rPr>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15</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zh-CN"/>
              </w:rPr>
            </w:pPr>
            <w:r>
              <w:rPr>
                <w:rFonts w:hint="eastAsia"/>
                <w:color w:val="000000"/>
                <w:kern w:val="0"/>
                <w:sz w:val="20"/>
                <w:szCs w:val="20"/>
                <w:lang w:eastAsia="zh-CN"/>
              </w:rPr>
              <w:t>基于简化滞回OCV模型的锂电池SOC自适应估计策略</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谈发明</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江苏理工学院</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13584390119</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中国电机工程学报</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是</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应用研究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信息与电子</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center"/>
              <w:rPr>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zh-CN"/>
              </w:rPr>
            </w:pPr>
            <w:r>
              <w:rPr>
                <w:rFonts w:hint="eastAsia"/>
                <w:color w:val="000000"/>
                <w:kern w:val="0"/>
                <w:sz w:val="20"/>
                <w:szCs w:val="20"/>
                <w:lang w:eastAsia="zh-CN"/>
              </w:rPr>
              <w:t>16</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IL1R2 increases regulatory T cell population in the tumor microenvironment by enhancing MHC-II expression on cancer-associated fibroblasts</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陈陆俊</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rFonts w:hint="eastAsia"/>
                <w:color w:val="000000"/>
                <w:kern w:val="0"/>
                <w:sz w:val="20"/>
                <w:szCs w:val="20"/>
                <w:lang w:eastAsia="en-US"/>
              </w:rPr>
              <w:t>常州市第一人民医院</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13776858368</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Journal for Immunotherapy of Cancer</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医药卫生集群</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pStyle w:val="10"/>
              <w:spacing w:before="131"/>
              <w:ind w:left="8"/>
              <w:jc w:val="center"/>
              <w:rPr>
                <w:rFonts w:ascii="Times New Roman"/>
                <w:sz w:val="20"/>
                <w:szCs w:val="20"/>
                <w:lang w:eastAsia="zh-CN"/>
              </w:rPr>
            </w:pPr>
            <w:r>
              <w:rPr>
                <w:rFonts w:hint="eastAsia" w:ascii="Times New Roman" w:hAnsi="Times New Roman" w:cs="Times New Roman"/>
                <w:sz w:val="20"/>
                <w:szCs w:val="20"/>
                <w:lang w:eastAsia="zh-CN"/>
              </w:rPr>
              <w:t>17</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N-acetyltransferase 10 promotes colon cancer progression by inhibiting ferroptosis through N4-acetylation and stabilization of ferroptosis suppressor protein 1 (FSP1) mRNA</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宋体" w:hAnsi="宋体" w:cs="宋体"/>
                <w:color w:val="000000"/>
                <w:kern w:val="0"/>
                <w:sz w:val="20"/>
                <w:szCs w:val="20"/>
                <w:lang w:eastAsia="en-US"/>
              </w:rPr>
            </w:pPr>
            <w:r>
              <w:rPr>
                <w:rFonts w:hint="eastAsia"/>
                <w:color w:val="000000"/>
                <w:kern w:val="0"/>
                <w:sz w:val="20"/>
                <w:szCs w:val="20"/>
                <w:lang w:eastAsia="en-US"/>
              </w:rPr>
              <w:t>郑  晓</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Times New Roman"/>
                <w:sz w:val="20"/>
                <w:szCs w:val="20"/>
                <w:lang w:eastAsia="en-US"/>
              </w:rPr>
            </w:pPr>
            <w:r>
              <w:rPr>
                <w:rFonts w:hint="eastAsia" w:cs="Times New Roman"/>
                <w:sz w:val="20"/>
                <w:szCs w:val="20"/>
                <w:lang w:eastAsia="en-US"/>
              </w:rPr>
              <w:t>常州市第一人民医院</w:t>
            </w:r>
          </w:p>
        </w:tc>
        <w:tc>
          <w:tcPr>
            <w:tcW w:w="1275"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Times New Roman"/>
                <w:sz w:val="20"/>
                <w:szCs w:val="20"/>
                <w:lang w:eastAsia="en-US"/>
              </w:rPr>
            </w:pPr>
            <w:r>
              <w:rPr>
                <w:rFonts w:hint="eastAsia" w:ascii="Times New Roman" w:hAnsi="Times New Roman" w:cs="Times New Roman"/>
                <w:sz w:val="20"/>
                <w:szCs w:val="20"/>
                <w:lang w:eastAsia="en-US"/>
              </w:rPr>
              <w:t>15851929000</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kern w:val="0"/>
                <w:sz w:val="20"/>
                <w:szCs w:val="20"/>
                <w:lang w:eastAsia="en-US"/>
              </w:rPr>
            </w:pPr>
            <w:r>
              <w:rPr>
                <w:kern w:val="0"/>
                <w:sz w:val="20"/>
                <w:szCs w:val="20"/>
                <w:lang w:eastAsia="en-US"/>
              </w:rPr>
              <w:t>Cancer Communications</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Times New Roman"/>
                <w:sz w:val="20"/>
                <w:szCs w:val="20"/>
                <w:lang w:eastAsia="en-US"/>
              </w:rPr>
            </w:pPr>
            <w:r>
              <w:rPr>
                <w:rFonts w:hint="eastAsia" w:cs="Times New Roman"/>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Times New Roman"/>
                <w:sz w:val="20"/>
                <w:szCs w:val="20"/>
                <w:lang w:eastAsia="en-US"/>
              </w:rPr>
            </w:pPr>
            <w:r>
              <w:rPr>
                <w:rFonts w:hint="eastAsia" w:cs="Times New Roman"/>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Times New Roman"/>
                <w:sz w:val="20"/>
                <w:szCs w:val="20"/>
                <w:lang w:eastAsia="en-US"/>
              </w:rPr>
            </w:pPr>
            <w:r>
              <w:rPr>
                <w:rFonts w:hint="eastAsia" w:cs="Times New Roman"/>
                <w:sz w:val="20"/>
                <w:szCs w:val="20"/>
                <w:lang w:eastAsia="en-US"/>
              </w:rPr>
              <w:t>医药卫生</w:t>
            </w:r>
          </w:p>
        </w:tc>
        <w:tc>
          <w:tcPr>
            <w:tcW w:w="585"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Times New Roman"/>
                <w:sz w:val="20"/>
                <w:szCs w:val="20"/>
                <w:lang w:eastAsia="en-US"/>
              </w:rPr>
            </w:pPr>
            <w:r>
              <w:rPr>
                <w:rFonts w:hint="eastAsia" w:cs="Times New Roman"/>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tcPr>
          <w:p>
            <w:pPr>
              <w:pStyle w:val="10"/>
              <w:jc w:val="center"/>
              <w:rPr>
                <w:rFonts w:ascii="Times New Roman"/>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default"/>
                <w:color w:val="000000"/>
                <w:kern w:val="0"/>
                <w:sz w:val="20"/>
                <w:szCs w:val="20"/>
                <w:lang w:val="en-US" w:eastAsia="zh-CN"/>
              </w:rPr>
            </w:pPr>
            <w:r>
              <w:rPr>
                <w:rFonts w:hint="eastAsia"/>
                <w:color w:val="000000"/>
                <w:kern w:val="0"/>
                <w:sz w:val="20"/>
                <w:szCs w:val="20"/>
                <w:lang w:eastAsia="zh-CN"/>
              </w:rPr>
              <w:t>1</w:t>
            </w:r>
            <w:r>
              <w:rPr>
                <w:rFonts w:hint="eastAsia"/>
                <w:color w:val="000000"/>
                <w:kern w:val="0"/>
                <w:sz w:val="20"/>
                <w:szCs w:val="20"/>
                <w:lang w:val="en-US" w:eastAsia="zh-CN"/>
              </w:rPr>
              <w:t>8</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GPC5 suppresses lung cancer progression and metastasis via intracellular CTDSP1/AhR/ARNT signaling axis and extracellular exosome secretion.</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杨</w:t>
            </w:r>
            <w:r>
              <w:rPr>
                <w:color w:val="000000"/>
                <w:kern w:val="0"/>
                <w:sz w:val="20"/>
                <w:szCs w:val="20"/>
                <w:lang w:eastAsia="en-US"/>
              </w:rPr>
              <w:t xml:space="preserve">  </w:t>
            </w:r>
            <w:r>
              <w:rPr>
                <w:rFonts w:hint="eastAsia"/>
                <w:color w:val="000000"/>
                <w:kern w:val="0"/>
                <w:sz w:val="20"/>
                <w:szCs w:val="20"/>
                <w:lang w:eastAsia="en-US"/>
              </w:rPr>
              <w:t>欣</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常州市第一人民医院</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kern w:val="0"/>
                <w:sz w:val="20"/>
                <w:szCs w:val="20"/>
                <w:lang w:eastAsia="en-US"/>
              </w:rPr>
              <w:t>18861235566</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oncogene</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医药卫生</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tcPr>
          <w:p>
            <w:pPr>
              <w:pStyle w:val="10"/>
              <w:jc w:val="center"/>
              <w:rPr>
                <w:rFonts w:ascii="Times New Roman"/>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19</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en-US"/>
              </w:rPr>
            </w:pPr>
            <w:r>
              <w:rPr>
                <w:color w:val="000000"/>
                <w:kern w:val="0"/>
                <w:sz w:val="20"/>
                <w:szCs w:val="20"/>
                <w:lang w:eastAsia="en-US"/>
              </w:rPr>
              <w:t>HDAC9 deficiency promotes tumor progression by decreasing the CD8+ dendritic cell infiltration of the tumor microenvironment.</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宁永玲</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常州市第二人民医院</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13401537921</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 xml:space="preserve">Journal for ImmunoTherapy of Cancer </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否</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基础研究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医药卫生</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tcPr>
          <w:p>
            <w:pPr>
              <w:autoSpaceDE w:val="0"/>
              <w:autoSpaceDN w:val="0"/>
              <w:jc w:val="center"/>
              <w:rPr>
                <w:color w:val="000000"/>
                <w:kern w:val="0"/>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20</w:t>
            </w:r>
          </w:p>
        </w:tc>
        <w:tc>
          <w:tcPr>
            <w:tcW w:w="46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color w:val="000000"/>
                <w:kern w:val="0"/>
                <w:sz w:val="20"/>
                <w:szCs w:val="20"/>
                <w:lang w:eastAsia="zh-CN"/>
              </w:rPr>
            </w:pPr>
            <w:r>
              <w:rPr>
                <w:rFonts w:hint="eastAsia"/>
                <w:color w:val="000000"/>
                <w:kern w:val="0"/>
                <w:sz w:val="20"/>
                <w:szCs w:val="20"/>
                <w:lang w:eastAsia="zh-CN"/>
              </w:rPr>
              <w:t>术中经颅电刺激运动诱发电位监测对颅脑手术患者术后肌力的预测价值</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刘</w:t>
            </w:r>
            <w:r>
              <w:rPr>
                <w:color w:val="000000"/>
                <w:kern w:val="0"/>
                <w:sz w:val="20"/>
                <w:szCs w:val="20"/>
                <w:lang w:eastAsia="en-US"/>
              </w:rPr>
              <w:t xml:space="preserve">  </w:t>
            </w:r>
            <w:r>
              <w:rPr>
                <w:rFonts w:hint="eastAsia"/>
                <w:color w:val="000000"/>
                <w:kern w:val="0"/>
                <w:sz w:val="20"/>
                <w:szCs w:val="20"/>
                <w:lang w:eastAsia="en-US"/>
              </w:rPr>
              <w:t>芳</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常州市第二人民医院</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18068562999</w:t>
            </w:r>
          </w:p>
        </w:tc>
        <w:tc>
          <w:tcPr>
            <w:tcW w:w="17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中华神经外科杂志</w:t>
            </w:r>
          </w:p>
        </w:tc>
        <w:tc>
          <w:tcPr>
            <w:tcW w:w="8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是</w:t>
            </w: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应用研究</w:t>
            </w:r>
          </w:p>
        </w:tc>
        <w:tc>
          <w:tcPr>
            <w:tcW w:w="11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医药卫生</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color w:val="000000"/>
                <w:kern w:val="0"/>
                <w:sz w:val="20"/>
                <w:szCs w:val="20"/>
                <w:lang w:eastAsia="en-US"/>
              </w:rPr>
            </w:pPr>
            <w:r>
              <w:rPr>
                <w:rFonts w:hint="eastAsia"/>
                <w:color w:val="000000"/>
                <w:kern w:val="0"/>
                <w:sz w:val="20"/>
                <w:szCs w:val="20"/>
                <w:lang w:eastAsia="en-US"/>
              </w:rPr>
              <w:t>是</w:t>
            </w:r>
          </w:p>
        </w:tc>
        <w:tc>
          <w:tcPr>
            <w:tcW w:w="790" w:type="dxa"/>
            <w:tcBorders>
              <w:top w:val="single" w:color="000000" w:sz="4" w:space="0"/>
              <w:left w:val="single" w:color="000000" w:sz="4" w:space="0"/>
              <w:bottom w:val="single" w:color="000000" w:sz="4" w:space="0"/>
              <w:right w:val="single" w:color="000000" w:sz="4" w:space="0"/>
            </w:tcBorders>
          </w:tcPr>
          <w:p>
            <w:pPr>
              <w:autoSpaceDE w:val="0"/>
              <w:autoSpaceDN w:val="0"/>
              <w:jc w:val="center"/>
              <w:rPr>
                <w:color w:val="000000"/>
                <w:kern w:val="0"/>
                <w:sz w:val="20"/>
                <w:szCs w:val="20"/>
                <w:lang w:eastAsia="en-US"/>
              </w:rPr>
            </w:pP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NjI0ODYyN2MyNzNkNjhkMGI5Zjc3OTY5NWVjMmQifQ=="/>
  </w:docVars>
  <w:rsids>
    <w:rsidRoot w:val="003F0AC3"/>
    <w:rsid w:val="001876D1"/>
    <w:rsid w:val="003F0AC3"/>
    <w:rsid w:val="005F5C77"/>
    <w:rsid w:val="00952DCB"/>
    <w:rsid w:val="009E062E"/>
    <w:rsid w:val="00EB7224"/>
    <w:rsid w:val="00EC260A"/>
    <w:rsid w:val="057A0ED2"/>
    <w:rsid w:val="096C6FAE"/>
    <w:rsid w:val="0DFD060A"/>
    <w:rsid w:val="292925BC"/>
    <w:rsid w:val="63F015E3"/>
    <w:rsid w:val="69231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99"/>
    <w:pPr>
      <w:autoSpaceDE w:val="0"/>
      <w:autoSpaceDN w:val="0"/>
      <w:jc w:val="left"/>
    </w:pPr>
    <w:rPr>
      <w:rFonts w:ascii="宋体" w:hAnsi="宋体" w:cs="宋体"/>
      <w:kern w:val="0"/>
      <w:sz w:val="32"/>
      <w:szCs w:val="32"/>
    </w:rPr>
  </w:style>
  <w:style w:type="paragraph" w:styleId="3">
    <w:name w:val="Balloon Text"/>
    <w:basedOn w:val="1"/>
    <w:link w:val="12"/>
    <w:semiHidden/>
    <w:unhideWhenUsed/>
    <w:qFormat/>
    <w:uiPriority w:val="99"/>
    <w:rPr>
      <w:sz w:val="18"/>
      <w:szCs w:val="18"/>
    </w:rPr>
  </w:style>
  <w:style w:type="paragraph" w:styleId="4">
    <w:name w:val="Subtitle"/>
    <w:basedOn w:val="1"/>
    <w:next w:val="1"/>
    <w:link w:val="8"/>
    <w:qFormat/>
    <w:uiPriority w:val="99"/>
    <w:pPr>
      <w:spacing w:before="240" w:after="60" w:line="312" w:lineRule="auto"/>
      <w:jc w:val="center"/>
      <w:outlineLvl w:val="1"/>
    </w:pPr>
    <w:rPr>
      <w:rFonts w:ascii="Cambria" w:hAnsi="Cambria" w:cs="宋体"/>
      <w:b/>
      <w:bCs/>
      <w:kern w:val="28"/>
      <w:sz w:val="32"/>
      <w:szCs w:val="32"/>
    </w:rPr>
  </w:style>
  <w:style w:type="paragraph" w:customStyle="1" w:styleId="7">
    <w:name w:val="p0"/>
    <w:basedOn w:val="1"/>
    <w:qFormat/>
    <w:uiPriority w:val="0"/>
    <w:pPr>
      <w:widowControl/>
    </w:pPr>
    <w:rPr>
      <w:kern w:val="0"/>
    </w:rPr>
  </w:style>
  <w:style w:type="character" w:customStyle="1" w:styleId="8">
    <w:name w:val="副标题 Char"/>
    <w:basedOn w:val="6"/>
    <w:link w:val="4"/>
    <w:qFormat/>
    <w:uiPriority w:val="99"/>
    <w:rPr>
      <w:rFonts w:ascii="Cambria" w:hAnsi="Cambria" w:eastAsia="宋体" w:cs="宋体"/>
      <w:b/>
      <w:bCs/>
      <w:kern w:val="28"/>
      <w:sz w:val="32"/>
      <w:szCs w:val="32"/>
    </w:rPr>
  </w:style>
  <w:style w:type="character" w:customStyle="1" w:styleId="9">
    <w:name w:val="正文文本 Char"/>
    <w:basedOn w:val="6"/>
    <w:link w:val="2"/>
    <w:qFormat/>
    <w:uiPriority w:val="99"/>
    <w:rPr>
      <w:rFonts w:ascii="宋体" w:hAnsi="宋体" w:eastAsia="宋体" w:cs="宋体"/>
      <w:kern w:val="0"/>
      <w:sz w:val="32"/>
      <w:szCs w:val="32"/>
    </w:rPr>
  </w:style>
  <w:style w:type="paragraph" w:customStyle="1" w:styleId="10">
    <w:name w:val="Table Paragraph"/>
    <w:basedOn w:val="1"/>
    <w:qFormat/>
    <w:uiPriority w:val="0"/>
    <w:pPr>
      <w:autoSpaceDE w:val="0"/>
      <w:autoSpaceDN w:val="0"/>
      <w:jc w:val="left"/>
    </w:pPr>
    <w:rPr>
      <w:rFonts w:ascii="宋体" w:hAnsi="宋体" w:cs="宋体"/>
      <w:kern w:val="0"/>
      <w:sz w:val="22"/>
      <w:szCs w:val="22"/>
    </w:rPr>
  </w:style>
  <w:style w:type="table" w:customStyle="1" w:styleId="11">
    <w:name w:val="Table Normal"/>
    <w:basedOn w:val="5"/>
    <w:qFormat/>
    <w:uiPriority w:val="0"/>
    <w:pPr>
      <w:widowControl w:val="0"/>
      <w:autoSpaceDE w:val="0"/>
      <w:autoSpaceDN w:val="0"/>
    </w:pPr>
    <w:rPr>
      <w:rFonts w:ascii="Times New Roman" w:hAnsi="Times New Roman" w:eastAsia="Times New Roman" w:cs="Times New Roman"/>
      <w:kern w:val="0"/>
      <w:sz w:val="22"/>
      <w:lang w:eastAsia="en-US"/>
    </w:rPr>
    <w:tblPr>
      <w:tblCellMar>
        <w:top w:w="0" w:type="dxa"/>
        <w:left w:w="0" w:type="dxa"/>
        <w:bottom w:w="0" w:type="dxa"/>
        <w:right w:w="0" w:type="dxa"/>
      </w:tblCellMar>
    </w:tblPr>
  </w:style>
  <w:style w:type="character" w:customStyle="1" w:styleId="12">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571</Words>
  <Characters>3256</Characters>
  <Lines>27</Lines>
  <Paragraphs>7</Paragraphs>
  <TotalTime>1</TotalTime>
  <ScaleCrop>false</ScaleCrop>
  <LinksUpToDate>false</LinksUpToDate>
  <CharactersWithSpaces>3820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2023-09-27T08:14:00Z</dcterms:created>
  <dc:creator>ZHG</dc:creator>
  <cp:lastModifiedBy>夜未眠</cp:lastModifiedBy>
  <dcterms:modified xsi:type="dcterms:W3CDTF">2023-09-28T08:23:30Z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DEF7B7CC12BF419186F6A59616834F2A_13</vt:lpwstr>
  </property>
</Properties>
</file>