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0" w:firstLineChars="0"/>
        <w:rPr>
          <w:rFonts w:ascii="Times New Roman" w:hAnsi="Times New Roman" w:eastAsia="黑体"/>
          <w:sz w:val="24"/>
        </w:rPr>
      </w:pPr>
      <w:r>
        <w:rPr>
          <w:rFonts w:ascii="Times New Roman" w:hAnsi="黑体" w:eastAsia="黑体"/>
          <w:spacing w:val="-5"/>
          <w:sz w:val="32"/>
          <w:szCs w:val="32"/>
          <w:lang w:val="zh-CN" w:bidi="zh-CN"/>
        </w:rPr>
        <w:t>附件</w:t>
      </w:r>
      <w:r>
        <w:rPr>
          <w:rFonts w:ascii="Times New Roman" w:hAnsi="Times New Roman" w:eastAsia="黑体"/>
          <w:spacing w:val="-5"/>
          <w:sz w:val="32"/>
          <w:szCs w:val="32"/>
          <w:lang w:bidi="zh-CN"/>
        </w:rPr>
        <w:t>2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  <w:t>智能设计比赛参赛办法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黑体" w:eastAsia="方正小标宋简体" w:cs="黑体"/>
          <w:snapToGrid w:val="0"/>
          <w:color w:val="000000"/>
          <w:kern w:val="0"/>
          <w:sz w:val="44"/>
          <w:szCs w:val="44"/>
        </w:rPr>
      </w:pP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智能设计比赛包括开源硬件智能设计和3D作品智能设计。具体各赛项参赛办法如下。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before="240" w:after="240" w:line="570" w:lineRule="exact"/>
        <w:ind w:firstLine="0" w:firstLineChars="0"/>
        <w:jc w:val="center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  <w:lang w:val="zh-CN"/>
        </w:rPr>
      </w:pPr>
      <w:r>
        <w:rPr>
          <w:rFonts w:ascii="Times New Roman" w:hAnsi="黑体" w:eastAsia="黑体"/>
          <w:bCs/>
          <w:color w:val="000000"/>
          <w:kern w:val="0"/>
          <w:sz w:val="32"/>
          <w:szCs w:val="32"/>
        </w:rPr>
        <w:t>开源硬件智能设计参赛办法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凡在2023年7月前，在校小学、初中、高中学生均可参赛。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2.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选手所在学段组别分为：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小学I组（1-3年级）、小学II组（4-6年级）、初中组、高中组；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3.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开源硬件智能设计以团队参赛，2人一组自行组队，可跨校，但不可跨组别；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4.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每组最多可有2名指导老师。指导老师作为责任人，有责任监督竞赛期间人身安全保护、财产，指导参赛学生制定学习计划，督促参赛学生顺利完成比赛。</w:t>
      </w:r>
    </w:p>
    <w:p>
      <w:pPr>
        <w:pStyle w:val="6"/>
        <w:spacing w:before="120" w:beforeAutospacing="0" w:after="120" w:afterAutospacing="0" w:line="5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黑体" w:eastAsia="黑体" w:cs="Times New Roman"/>
          <w:sz w:val="28"/>
          <w:szCs w:val="28"/>
        </w:rPr>
        <w:t>参赛流程</w:t>
      </w:r>
    </w:p>
    <w:tbl>
      <w:tblPr>
        <w:tblStyle w:val="3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61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48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阶段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环节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8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报名阶段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3月1日-10日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pStyle w:val="7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参赛学生自行组队</w:t>
            </w:r>
          </w:p>
          <w:p>
            <w:pPr>
              <w:pStyle w:val="7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在线完成个人信息注册与组队报名</w:t>
            </w:r>
          </w:p>
          <w:p>
            <w:pPr>
              <w:pStyle w:val="7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报名地址3月1日在辅导员群公布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48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作品制作阶段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3月18日-19日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pStyle w:val="7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参赛学生需在该阶段，根据作品设计主题，创作智能实物作品。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83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作品上传阶段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3月19日</w:t>
            </w:r>
          </w:p>
        </w:tc>
        <w:tc>
          <w:tcPr>
            <w:tcW w:w="5309" w:type="dxa"/>
            <w:noWrap w:val="0"/>
            <w:vAlign w:val="center"/>
          </w:tcPr>
          <w:p>
            <w:pPr>
              <w:pStyle w:val="7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参赛学生需在该阶段，按照赛事要求完成作品说明内容、作品演示视频、接线图等内容的上传</w:t>
            </w:r>
          </w:p>
          <w:p>
            <w:pPr>
              <w:pStyle w:val="7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上传地址3月19日在辅导员群公布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参赛学生在2天时间内按照评委给出的设计主题，利用mind+、makecode或Mixly编程平台，基于开源硬件和其他相关电子元配件，通过电脑编程、硬件搭建、造型设计等创作实物模型作品。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参赛学生比赛过程中所需使用的开源硬件、电脑，由参赛学生自行准备。为确保比赛公平性，参赛学生使用硬件种类与数量不得超出“开源硬件器材包清单”要求。</w:t>
      </w:r>
    </w:p>
    <w:p>
      <w:pPr>
        <w:pStyle w:val="6"/>
        <w:spacing w:before="120" w:beforeAutospacing="0" w:after="120" w:afterAutospacing="0" w:line="500" w:lineRule="exact"/>
        <w:rPr>
          <w:rFonts w:hint="eastAsia" w:ascii="Times New Roman" w:hAnsi="黑体" w:eastAsia="黑体" w:cs="Times New Roman"/>
          <w:sz w:val="28"/>
          <w:szCs w:val="28"/>
        </w:rPr>
      </w:pPr>
      <w:r>
        <w:rPr>
          <w:rFonts w:hint="eastAsia" w:ascii="Times New Roman" w:hAnsi="黑体" w:eastAsia="黑体" w:cs="Times New Roman"/>
          <w:sz w:val="28"/>
          <w:szCs w:val="28"/>
        </w:rPr>
        <w:t>开源硬件器材包清单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after="80" w:line="570" w:lineRule="exact"/>
        <w:ind w:firstLine="641" w:firstLineChars="0"/>
        <w:rPr>
          <w:rFonts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  <w:lang w:bidi="ar"/>
        </w:rPr>
        <w:t>可选主控板：</w:t>
      </w:r>
    </w:p>
    <w:tbl>
      <w:tblPr>
        <w:tblStyle w:val="3"/>
        <w:tblW w:w="90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硬件类别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最多可用数量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Arduino UNO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micro：bit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after="80" w:line="57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可选人工智能模块：</w:t>
      </w:r>
    </w:p>
    <w:tbl>
      <w:tblPr>
        <w:tblStyle w:val="3"/>
        <w:tblW w:w="90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硬件类别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最多可用数量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语音合成模块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语音识别模块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人工智能视觉传感器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after="80" w:line="57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可选通信模块：</w:t>
      </w:r>
    </w:p>
    <w:tbl>
      <w:tblPr>
        <w:tblStyle w:val="3"/>
        <w:tblW w:w="90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硬件类别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最多可用数量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红外通信模块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NFC通信模块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WiFi模块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射频通信模块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蓝牙模块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after="80" w:line="57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可选传感器：</w:t>
      </w:r>
    </w:p>
    <w:tbl>
      <w:tblPr>
        <w:tblStyle w:val="3"/>
        <w:tblW w:w="90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硬件类别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最多可用数量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开关和按钮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电位计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光线类传感器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距离类传感器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温湿度类传感器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声音类传感器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交互类传感器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运动类传感器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图像类传感器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加速度/陀螺仪类传感器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空气类传感器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液体类传感器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after="80" w:line="57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可选执行器：</w:t>
      </w:r>
    </w:p>
    <w:tbl>
      <w:tblPr>
        <w:tblStyle w:val="3"/>
        <w:tblW w:w="90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5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硬件类别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Ansi="黑体" w:eastAsia="黑体"/>
                <w:bCs/>
                <w:color w:val="000000"/>
                <w:kern w:val="0"/>
                <w:sz w:val="28"/>
                <w:szCs w:val="28"/>
                <w:lang w:bidi="ar"/>
              </w:rPr>
              <w:t>最多可用数量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灯光模块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显示屏类模块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舵机/电机及驱动类模块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1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音频类模块</w:t>
            </w:r>
          </w:p>
        </w:tc>
        <w:tc>
          <w:tcPr>
            <w:tcW w:w="5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line="57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其他如转接板\配件类型的工具模块不做数量限制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before="240" w:after="240" w:line="530" w:lineRule="exact"/>
        <w:ind w:firstLine="0" w:firstLineChars="0"/>
        <w:jc w:val="center"/>
        <w:rPr>
          <w:rFonts w:hint="eastAsia" w:ascii="Times New Roman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/>
          <w:bCs/>
          <w:color w:val="000000"/>
          <w:kern w:val="0"/>
          <w:sz w:val="32"/>
          <w:szCs w:val="32"/>
        </w:rPr>
        <w:t>3D作品智能设计参赛办法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黑体" w:eastAsia="黑体"/>
          <w:kern w:val="0"/>
          <w:sz w:val="32"/>
          <w:szCs w:val="32"/>
          <w:lang w:bidi="ar"/>
        </w:rPr>
        <w:t>一、参赛对象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楷体_GB2312"/>
          <w:b/>
          <w:kern w:val="0"/>
          <w:sz w:val="32"/>
          <w:szCs w:val="32"/>
          <w:lang w:bidi="ar"/>
        </w:rPr>
        <w:t>1. 参赛组别：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小学组、初中组、高中组（含中专、职高）。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2. 参赛人数：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2人/队伍。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3. 指导教师：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1人。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黑体" w:eastAsia="黑体"/>
          <w:kern w:val="0"/>
          <w:sz w:val="32"/>
          <w:szCs w:val="32"/>
          <w:lang w:bidi="ar"/>
        </w:rPr>
      </w:pPr>
      <w:r>
        <w:rPr>
          <w:rFonts w:hint="eastAsia" w:ascii="Times New Roman" w:hAnsi="黑体" w:eastAsia="黑体"/>
          <w:kern w:val="0"/>
          <w:sz w:val="32"/>
          <w:szCs w:val="32"/>
          <w:lang w:bidi="ar"/>
        </w:rPr>
        <w:t>二、竞赛主题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1. 小学组：智慧生活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青少年通过科普教育活动，不仅了解到科普知识，还知道科技如何改变了我们的生活（例如：感应台灯、智能卫浴、无人驾驶地铁等）。参赛选手结合生活科学知识，使用3D设计和3D打印的方式，结合智能硬件，设计并制作生活创意实物作品，传播科学知识和理念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2. 初中组：绿色出行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在“双碳”目标的背景下，人们绿色出行深度减排成为重点，目前仍面临着很多难点（例如：私家车出行越来越多、交通设施不完善导致出行效率不高等）。参赛选手结合实际绿色出行问题，使用3D设计和3D打印的方式，结合智能硬件，完成智慧绿色出行实物作品，传播绿色出行理念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bidi="ar"/>
        </w:rPr>
        <w:t>3. 高中组：未来探月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目前我国探月工程四期已立项，将建国际月球科研站基本型。参赛选手搜集和查阅我国探月工程和月球的相关资料，发挥想象力，使用3D设计和3D打印技术，配合智能硬件，完成具备某些特定功能（例如：勘探、运输、建设等）的智能实物作品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黑体" w:eastAsia="黑体"/>
          <w:kern w:val="0"/>
          <w:sz w:val="32"/>
          <w:szCs w:val="32"/>
          <w:lang w:bidi="ar"/>
        </w:rPr>
      </w:pPr>
      <w:r>
        <w:rPr>
          <w:rFonts w:hint="eastAsia" w:ascii="Times New Roman" w:hAnsi="黑体" w:eastAsia="黑体"/>
          <w:kern w:val="0"/>
          <w:sz w:val="32"/>
          <w:szCs w:val="32"/>
          <w:lang w:bidi="ar"/>
        </w:rPr>
        <w:t>三、作品要求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1. 作品主体须通过3D设计与3D打印实现，可结合其他零配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bidi="ar"/>
        </w:rPr>
        <w:t>件或连接件进行组装，非3D打印件不得超过总体结构体积的30%。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2. 作品须充分体现出相应的科学知识和理念。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3. 作品须制出实物，单个3D打印结构零件尺寸建议不超过150mm×150mm×150mm（长×宽×高），模型结构厚度建议不小于1.5mm。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4. 选手须独立完成作品的创意构思、方案设计、作品实物、场景组装搭建等内容。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5. 作品提交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（1）演示文件：PPT格式，侧重描述作品设计与技术实现、创新与实用价值等方面内容。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（2）作品文件与源码：结构设计须提供可编辑的源文件（IME3D可编辑），以及STL模型文件；须提供程序源代码文件。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（3）作品实物照片：多角度，至少4-5幅，JPG格式。包括但不限于作品的3D设计效果图、建模过程截图、实物组装和演示效果图等。注意：沙盘类作品，至少有1张全景展示的照片。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（4）展示视频：MP4格式，时长不超过5分钟，大小不超过100MB；包括但不限于建模设计与3D打印过程、作品主要功能演示等内容。</w:t>
      </w:r>
    </w:p>
    <w:p>
      <w:pPr>
        <w:pStyle w:val="5"/>
        <w:overflowPunct w:val="0"/>
        <w:autoSpaceDE w:val="0"/>
        <w:autoSpaceDN w:val="0"/>
        <w:adjustRightInd w:val="0"/>
        <w:snapToGrid w:val="0"/>
        <w:spacing w:line="530" w:lineRule="exact"/>
        <w:ind w:firstLine="641" w:firstLineChars="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（5）参赛选手无需报名，将上述文件在规定时间内在线提交即可参赛。</w:t>
      </w:r>
    </w:p>
    <w:p>
      <w:r>
        <w:rPr>
          <w:rFonts w:hAnsi="黑体" w:eastAsia="黑体"/>
          <w:spacing w:val="-5"/>
          <w:sz w:val="32"/>
          <w:szCs w:val="32"/>
          <w:lang w:val="zh-CN" w:bidi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WZkNzJkNDgzODFmNTU0YTc0ZDg3MjNhNzcwODEifQ=="/>
  </w:docVars>
  <w:rsids>
    <w:rsidRoot w:val="48373327"/>
    <w:rsid w:val="4837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225" w:afterLines="0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封面"/>
    <w:basedOn w:val="2"/>
    <w:qFormat/>
    <w:uiPriority w:val="0"/>
    <w:pPr>
      <w:spacing w:after="100" w:afterAutospacing="1" w:line="360" w:lineRule="auto"/>
      <w:jc w:val="center"/>
    </w:pPr>
    <w:rPr>
      <w:rFonts w:eastAsia="仿宋"/>
      <w:sz w:val="36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2022-11-14T03:12:00Z</dcterms:created>
  <dc:creator>_NeverLand</dc:creator>
  <cp:lastModifiedBy>_NeverLand</cp:lastModifiedBy>
  <dcterms:modified xsi:type="dcterms:W3CDTF">2022-11-14T03:14:19Z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CC1B2947DD7F4E2583C97C19CF5DBCA7</vt:lpwstr>
  </property>
</Properties>
</file>